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1A7DD" w14:textId="6472A7B4" w:rsidR="007E6233" w:rsidRPr="00F35592" w:rsidRDefault="007E6233" w:rsidP="0047251A">
      <w:pPr>
        <w:pBdr>
          <w:top w:val="nil"/>
          <w:left w:val="nil"/>
          <w:bottom w:val="nil"/>
          <w:right w:val="nil"/>
          <w:between w:val="nil"/>
        </w:pBdr>
        <w:tabs>
          <w:tab w:val="center" w:pos="4320"/>
          <w:tab w:val="right" w:pos="8640"/>
        </w:tabs>
        <w:spacing w:before="240" w:after="240" w:line="22" w:lineRule="atLeast"/>
        <w:jc w:val="center"/>
        <w:rPr>
          <w:rFonts w:asciiTheme="majorBidi" w:hAnsiTheme="majorBidi" w:cstheme="majorBidi"/>
          <w:color w:val="000000"/>
          <w:sz w:val="24"/>
          <w:szCs w:val="24"/>
        </w:rPr>
      </w:pPr>
      <w:bookmarkStart w:id="0" w:name="_GoBack"/>
      <w:bookmarkEnd w:id="0"/>
      <w:r w:rsidRPr="00F35592">
        <w:rPr>
          <w:rFonts w:asciiTheme="majorBidi" w:hAnsiTheme="majorBidi" w:cstheme="majorBidi"/>
          <w:noProof/>
          <w:color w:val="000000"/>
          <w:sz w:val="24"/>
          <w:szCs w:val="24"/>
          <w:lang w:val="en-US"/>
        </w:rPr>
        <w:drawing>
          <wp:inline distT="0" distB="0" distL="0" distR="0" wp14:anchorId="2F7742A9" wp14:editId="0D452451">
            <wp:extent cx="843243" cy="1023938"/>
            <wp:effectExtent l="0" t="0" r="0" b="0"/>
            <wp:docPr id="4" name="image1.png" descr="../../Documents/Rania/190617/Al-Haq%20logo.png"/>
            <wp:cNvGraphicFramePr/>
            <a:graphic xmlns:a="http://schemas.openxmlformats.org/drawingml/2006/main">
              <a:graphicData uri="http://schemas.openxmlformats.org/drawingml/2006/picture">
                <pic:pic xmlns:pic="http://schemas.openxmlformats.org/drawingml/2006/picture">
                  <pic:nvPicPr>
                    <pic:cNvPr id="0" name="image1.png" descr="../../Documents/Rania/190617/Al-Haq%20logo.png"/>
                    <pic:cNvPicPr preferRelativeResize="0"/>
                  </pic:nvPicPr>
                  <pic:blipFill>
                    <a:blip r:embed="rId8"/>
                    <a:srcRect/>
                    <a:stretch>
                      <a:fillRect/>
                    </a:stretch>
                  </pic:blipFill>
                  <pic:spPr>
                    <a:xfrm>
                      <a:off x="0" y="0"/>
                      <a:ext cx="843243" cy="1023938"/>
                    </a:xfrm>
                    <a:prstGeom prst="rect">
                      <a:avLst/>
                    </a:prstGeom>
                    <a:ln/>
                  </pic:spPr>
                </pic:pic>
              </a:graphicData>
            </a:graphic>
          </wp:inline>
        </w:drawing>
      </w:r>
      <w:r w:rsidR="00DB64C0">
        <w:rPr>
          <w:rFonts w:asciiTheme="majorBidi" w:hAnsiTheme="majorBidi" w:cstheme="majorBidi"/>
          <w:color w:val="000000"/>
          <w:sz w:val="24"/>
          <w:szCs w:val="24"/>
        </w:rPr>
        <w:t xml:space="preserve"> </w:t>
      </w:r>
      <w:r w:rsidRPr="00770F37">
        <w:rPr>
          <w:rFonts w:asciiTheme="majorBidi" w:hAnsiTheme="majorBidi" w:cstheme="majorBidi"/>
          <w:color w:val="000000"/>
          <w:sz w:val="21"/>
          <w:szCs w:val="21"/>
        </w:rPr>
        <w:t xml:space="preserve"> </w:t>
      </w:r>
      <w:r w:rsidR="00523FD9">
        <w:rPr>
          <w:rFonts w:asciiTheme="majorBidi" w:hAnsiTheme="majorBidi" w:cstheme="majorBidi"/>
          <w:color w:val="000000"/>
          <w:sz w:val="24"/>
          <w:szCs w:val="24"/>
        </w:rPr>
        <w:t xml:space="preserve"> </w:t>
      </w:r>
      <w:r w:rsidRPr="00F35592">
        <w:rPr>
          <w:rFonts w:asciiTheme="majorBidi" w:hAnsiTheme="majorBidi" w:cstheme="majorBidi"/>
          <w:noProof/>
          <w:color w:val="000000"/>
          <w:sz w:val="24"/>
          <w:szCs w:val="24"/>
          <w:lang w:val="en-US"/>
        </w:rPr>
        <w:drawing>
          <wp:inline distT="0" distB="0" distL="0" distR="0" wp14:anchorId="308EDF84" wp14:editId="08D519E0">
            <wp:extent cx="927500" cy="102538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27500" cy="1025383"/>
                    </a:xfrm>
                    <a:prstGeom prst="rect">
                      <a:avLst/>
                    </a:prstGeom>
                    <a:ln/>
                  </pic:spPr>
                </pic:pic>
              </a:graphicData>
            </a:graphic>
          </wp:inline>
        </w:drawing>
      </w:r>
      <w:r w:rsidR="004546F5">
        <w:rPr>
          <w:rFonts w:asciiTheme="majorBidi" w:hAnsiTheme="majorBidi" w:cstheme="majorBidi"/>
          <w:color w:val="000000"/>
          <w:sz w:val="24"/>
          <w:szCs w:val="24"/>
        </w:rPr>
        <w:t xml:space="preserve"> </w:t>
      </w:r>
      <w:r w:rsidR="00523FD9">
        <w:rPr>
          <w:rFonts w:asciiTheme="majorBidi" w:hAnsiTheme="majorBidi" w:cstheme="majorBidi"/>
          <w:color w:val="000000"/>
          <w:sz w:val="24"/>
          <w:szCs w:val="24"/>
        </w:rPr>
        <w:t xml:space="preserve"> </w:t>
      </w:r>
      <w:r w:rsidR="00A80529" w:rsidRPr="00943AE5">
        <w:rPr>
          <w:rFonts w:ascii="Calibri Light" w:hAnsi="Calibri Light"/>
          <w:noProof/>
          <w:sz w:val="18"/>
          <w:szCs w:val="18"/>
          <w:lang w:val="en-US"/>
        </w:rPr>
        <w:drawing>
          <wp:inline distT="0" distB="0" distL="0" distR="0" wp14:anchorId="26217643" wp14:editId="21978B57">
            <wp:extent cx="863037" cy="1043755"/>
            <wp:effectExtent l="0" t="0" r="635"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rotWithShape="1">
                    <a:blip r:embed="rId10" cstate="print">
                      <a:extLst>
                        <a:ext uri="{28A0092B-C50C-407E-A947-70E740481C1C}">
                          <a14:useLocalDpi xmlns:a14="http://schemas.microsoft.com/office/drawing/2010/main" val="0"/>
                        </a:ext>
                      </a:extLst>
                    </a:blip>
                    <a:srcRect l="19009" t="2865" r="16326" b="-1"/>
                    <a:stretch/>
                  </pic:blipFill>
                  <pic:spPr bwMode="auto">
                    <a:xfrm>
                      <a:off x="0" y="0"/>
                      <a:ext cx="1042729" cy="1261074"/>
                    </a:xfrm>
                    <a:prstGeom prst="rect">
                      <a:avLst/>
                    </a:prstGeom>
                    <a:ln>
                      <a:noFill/>
                    </a:ln>
                    <a:extLst>
                      <a:ext uri="{53640926-AAD7-44D8-BBD7-CCE9431645EC}">
                        <a14:shadowObscured xmlns:a14="http://schemas.microsoft.com/office/drawing/2010/main"/>
                      </a:ext>
                    </a:extLst>
                  </pic:spPr>
                </pic:pic>
              </a:graphicData>
            </a:graphic>
          </wp:inline>
        </w:drawing>
      </w:r>
      <w:r w:rsidR="00A82AD7">
        <w:rPr>
          <w:rFonts w:asciiTheme="majorBidi" w:hAnsiTheme="majorBidi" w:cstheme="majorBidi"/>
          <w:color w:val="000000"/>
          <w:sz w:val="24"/>
          <w:szCs w:val="24"/>
        </w:rPr>
        <w:t xml:space="preserve"> </w:t>
      </w:r>
      <w:r w:rsidR="00523FD9">
        <w:rPr>
          <w:rFonts w:asciiTheme="majorBidi" w:hAnsiTheme="majorBidi" w:cstheme="majorBidi"/>
          <w:noProof/>
          <w:color w:val="000000"/>
          <w:sz w:val="24"/>
          <w:szCs w:val="24"/>
          <w:lang w:val="en-US"/>
        </w:rPr>
        <w:drawing>
          <wp:inline distT="0" distB="0" distL="0" distR="0" wp14:anchorId="242963B6" wp14:editId="73F99ACB">
            <wp:extent cx="1042410" cy="1043099"/>
            <wp:effectExtent l="0" t="0" r="0" b="0"/>
            <wp:docPr id="2" name="Picture 2" descr="AQ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5114" t="4262" r="3691" b="4484"/>
                    <a:stretch/>
                  </pic:blipFill>
                  <pic:spPr bwMode="auto">
                    <a:xfrm>
                      <a:off x="0" y="0"/>
                      <a:ext cx="1087036" cy="1087754"/>
                    </a:xfrm>
                    <a:prstGeom prst="rect">
                      <a:avLst/>
                    </a:prstGeom>
                    <a:noFill/>
                    <a:ln>
                      <a:noFill/>
                    </a:ln>
                    <a:extLst>
                      <a:ext uri="{53640926-AAD7-44D8-BBD7-CCE9431645EC}">
                        <a14:shadowObscured xmlns:a14="http://schemas.microsoft.com/office/drawing/2010/main"/>
                      </a:ext>
                    </a:extLst>
                  </pic:spPr>
                </pic:pic>
              </a:graphicData>
            </a:graphic>
          </wp:inline>
        </w:drawing>
      </w:r>
    </w:p>
    <w:p w14:paraId="163AAB52" w14:textId="77777777" w:rsidR="00731447" w:rsidRPr="00F35592" w:rsidRDefault="00AA735D" w:rsidP="0047251A">
      <w:pPr>
        <w:spacing w:before="240" w:after="240" w:line="22" w:lineRule="atLeast"/>
        <w:jc w:val="center"/>
        <w:outlineLvl w:val="0"/>
        <w:rPr>
          <w:rFonts w:asciiTheme="majorBidi" w:eastAsia="Times New Roman" w:hAnsiTheme="majorBidi" w:cstheme="majorBidi"/>
          <w:b/>
          <w:sz w:val="24"/>
          <w:szCs w:val="24"/>
          <w:u w:val="single"/>
        </w:rPr>
      </w:pPr>
      <w:r w:rsidRPr="00F35592">
        <w:rPr>
          <w:rFonts w:asciiTheme="majorBidi" w:eastAsia="Times New Roman" w:hAnsiTheme="majorBidi" w:cstheme="majorBidi"/>
          <w:b/>
          <w:sz w:val="24"/>
          <w:szCs w:val="24"/>
          <w:u w:val="single"/>
        </w:rPr>
        <w:t>Joint Urgent Appeal</w:t>
      </w:r>
    </w:p>
    <w:p w14:paraId="63CB32E4" w14:textId="5CF37A12" w:rsidR="00731447" w:rsidRPr="00F35592" w:rsidRDefault="00AA735D" w:rsidP="0047251A">
      <w:pPr>
        <w:shd w:val="clear" w:color="auto" w:fill="FFFFFF"/>
        <w:spacing w:before="240" w:after="240" w:line="22" w:lineRule="atLeast"/>
        <w:jc w:val="center"/>
        <w:rPr>
          <w:rFonts w:asciiTheme="majorBidi" w:eastAsia="Times New Roman" w:hAnsiTheme="majorBidi" w:cstheme="majorBidi"/>
          <w:b/>
          <w:sz w:val="24"/>
          <w:szCs w:val="24"/>
        </w:rPr>
      </w:pPr>
      <w:r w:rsidRPr="00F35592">
        <w:rPr>
          <w:rFonts w:asciiTheme="majorBidi" w:eastAsia="Times New Roman" w:hAnsiTheme="majorBidi" w:cstheme="majorBidi"/>
          <w:b/>
          <w:sz w:val="24"/>
          <w:szCs w:val="24"/>
        </w:rPr>
        <w:t xml:space="preserve">Joint Urgent Appeal to the </w:t>
      </w:r>
      <w:r w:rsidR="00E60C99">
        <w:rPr>
          <w:rFonts w:asciiTheme="majorBidi" w:eastAsia="Times New Roman" w:hAnsiTheme="majorBidi" w:cstheme="majorBidi"/>
          <w:b/>
          <w:sz w:val="24"/>
          <w:szCs w:val="24"/>
        </w:rPr>
        <w:t>United Nations</w:t>
      </w:r>
      <w:r w:rsidRPr="00F35592">
        <w:rPr>
          <w:rFonts w:asciiTheme="majorBidi" w:eastAsia="Times New Roman" w:hAnsiTheme="majorBidi" w:cstheme="majorBidi"/>
          <w:b/>
          <w:sz w:val="24"/>
          <w:szCs w:val="24"/>
        </w:rPr>
        <w:t xml:space="preserve"> Special Procedures on the Imminent Risk of Deportation of Palestinian Resident Omar Barghouti as Israeli Interior Minister Initiates Proceedings to Punitively Revoke his Residency Status for ‘Breach of Allegiance’</w:t>
      </w:r>
    </w:p>
    <w:p w14:paraId="056C4753" w14:textId="039EFDC7" w:rsidR="00731447" w:rsidRPr="00F35592" w:rsidRDefault="00AA735D" w:rsidP="0047251A">
      <w:pPr>
        <w:spacing w:before="240" w:after="240" w:line="22" w:lineRule="atLeast"/>
        <w:ind w:right="4"/>
        <w:jc w:val="center"/>
        <w:rPr>
          <w:rFonts w:asciiTheme="majorBidi" w:eastAsia="Times New Roman" w:hAnsiTheme="majorBidi" w:cstheme="majorBidi"/>
          <w:sz w:val="24"/>
          <w:szCs w:val="24"/>
        </w:rPr>
      </w:pPr>
      <w:r w:rsidRPr="002B2421">
        <w:rPr>
          <w:rFonts w:asciiTheme="majorBidi" w:eastAsia="Times New Roman" w:hAnsiTheme="majorBidi" w:cstheme="majorBidi"/>
          <w:sz w:val="24"/>
          <w:szCs w:val="24"/>
        </w:rPr>
        <w:t xml:space="preserve">Date: </w:t>
      </w:r>
      <w:r w:rsidR="00672C98">
        <w:rPr>
          <w:rFonts w:asciiTheme="majorBidi" w:eastAsia="Times New Roman" w:hAnsiTheme="majorBidi" w:cstheme="majorBidi"/>
          <w:sz w:val="24"/>
          <w:szCs w:val="24"/>
        </w:rPr>
        <w:t>6</w:t>
      </w:r>
      <w:r w:rsidR="005D4D48" w:rsidRPr="007E48AB">
        <w:rPr>
          <w:rFonts w:asciiTheme="majorBidi" w:eastAsia="Times New Roman" w:hAnsiTheme="majorBidi" w:cstheme="majorBidi"/>
          <w:sz w:val="24"/>
          <w:szCs w:val="24"/>
        </w:rPr>
        <w:t xml:space="preserve"> November</w:t>
      </w:r>
      <w:r w:rsidRPr="002B2421">
        <w:rPr>
          <w:rFonts w:asciiTheme="majorBidi" w:eastAsia="Times New Roman" w:hAnsiTheme="majorBidi" w:cstheme="majorBidi"/>
          <w:sz w:val="24"/>
          <w:szCs w:val="24"/>
        </w:rPr>
        <w:t xml:space="preserve"> 2019</w:t>
      </w:r>
    </w:p>
    <w:p w14:paraId="25F8DD3F" w14:textId="77777777" w:rsidR="00731447" w:rsidRPr="00F35592" w:rsidRDefault="00AA735D" w:rsidP="0047251A">
      <w:pPr>
        <w:spacing w:before="240" w:after="240" w:line="22" w:lineRule="atLeast"/>
        <w:ind w:right="4"/>
        <w:jc w:val="both"/>
        <w:outlineLvl w:val="0"/>
        <w:rPr>
          <w:rFonts w:asciiTheme="majorBidi" w:eastAsia="Times New Roman" w:hAnsiTheme="majorBidi" w:cstheme="majorBidi"/>
          <w:b/>
          <w:sz w:val="24"/>
          <w:szCs w:val="24"/>
        </w:rPr>
      </w:pPr>
      <w:r w:rsidRPr="00F35592">
        <w:rPr>
          <w:rFonts w:asciiTheme="majorBidi" w:eastAsia="Times New Roman" w:hAnsiTheme="majorBidi" w:cstheme="majorBidi"/>
          <w:b/>
          <w:sz w:val="24"/>
          <w:szCs w:val="24"/>
        </w:rPr>
        <w:t>To the attention of:</w:t>
      </w:r>
    </w:p>
    <w:p w14:paraId="574C862A" w14:textId="2688E54D" w:rsidR="00731447" w:rsidRPr="00F35592" w:rsidRDefault="00AA735D" w:rsidP="0047251A">
      <w:pPr>
        <w:numPr>
          <w:ilvl w:val="0"/>
          <w:numId w:val="2"/>
        </w:numPr>
        <w:pBdr>
          <w:top w:val="nil"/>
          <w:left w:val="nil"/>
          <w:bottom w:val="nil"/>
          <w:right w:val="nil"/>
          <w:between w:val="nil"/>
        </w:pBdr>
        <w:spacing w:before="200" w:after="200" w:line="22" w:lineRule="atLeast"/>
        <w:rPr>
          <w:rFonts w:asciiTheme="majorBidi" w:hAnsiTheme="majorBidi" w:cstheme="majorBidi"/>
          <w:color w:val="000000"/>
          <w:sz w:val="24"/>
          <w:szCs w:val="24"/>
        </w:rPr>
      </w:pPr>
      <w:r w:rsidRPr="00F35592">
        <w:rPr>
          <w:rFonts w:asciiTheme="majorBidi" w:eastAsia="Times New Roman" w:hAnsiTheme="majorBidi" w:cstheme="majorBidi"/>
          <w:color w:val="000000"/>
          <w:sz w:val="24"/>
          <w:szCs w:val="24"/>
        </w:rPr>
        <w:t xml:space="preserve">The </w:t>
      </w:r>
      <w:r w:rsidR="00E60C99">
        <w:rPr>
          <w:rFonts w:asciiTheme="majorBidi" w:eastAsia="Times New Roman" w:hAnsiTheme="majorBidi" w:cstheme="majorBidi"/>
          <w:color w:val="000000"/>
          <w:sz w:val="24"/>
          <w:szCs w:val="24"/>
        </w:rPr>
        <w:t xml:space="preserve">UN </w:t>
      </w:r>
      <w:r w:rsidRPr="00F35592">
        <w:rPr>
          <w:rFonts w:asciiTheme="majorBidi" w:eastAsia="Times New Roman" w:hAnsiTheme="majorBidi" w:cstheme="majorBidi"/>
          <w:color w:val="000000"/>
          <w:sz w:val="24"/>
          <w:szCs w:val="24"/>
        </w:rPr>
        <w:t>Special Rapporteur on the situation of human rights in the Palestinian territory occupied since 1967, Mr. S. Michael Lynk;</w:t>
      </w:r>
    </w:p>
    <w:p w14:paraId="0E361FDD" w14:textId="6CD1744A" w:rsidR="001937B2" w:rsidRPr="00F35592" w:rsidRDefault="001937B2" w:rsidP="0047251A">
      <w:pPr>
        <w:numPr>
          <w:ilvl w:val="0"/>
          <w:numId w:val="2"/>
        </w:numPr>
        <w:pBdr>
          <w:top w:val="nil"/>
          <w:left w:val="nil"/>
          <w:bottom w:val="nil"/>
          <w:right w:val="nil"/>
          <w:between w:val="nil"/>
        </w:pBdr>
        <w:spacing w:before="200" w:after="200" w:line="22" w:lineRule="atLeast"/>
        <w:rPr>
          <w:rFonts w:asciiTheme="majorBidi" w:hAnsiTheme="majorBidi" w:cstheme="majorBidi"/>
          <w:color w:val="000000"/>
          <w:sz w:val="24"/>
          <w:szCs w:val="24"/>
        </w:rPr>
      </w:pPr>
      <w:r w:rsidRPr="00F35592">
        <w:rPr>
          <w:rFonts w:asciiTheme="majorBidi" w:eastAsia="Times New Roman" w:hAnsiTheme="majorBidi" w:cstheme="majorBidi"/>
          <w:color w:val="000000"/>
          <w:sz w:val="24"/>
          <w:szCs w:val="24"/>
        </w:rPr>
        <w:t xml:space="preserve">The </w:t>
      </w:r>
      <w:r w:rsidR="00E60C99">
        <w:rPr>
          <w:rFonts w:asciiTheme="majorBidi" w:eastAsia="Times New Roman" w:hAnsiTheme="majorBidi" w:cstheme="majorBidi"/>
          <w:color w:val="000000"/>
          <w:sz w:val="24"/>
          <w:szCs w:val="24"/>
        </w:rPr>
        <w:t xml:space="preserve">UN </w:t>
      </w:r>
      <w:r w:rsidRPr="00F35592">
        <w:rPr>
          <w:rFonts w:asciiTheme="majorBidi" w:eastAsia="Times New Roman" w:hAnsiTheme="majorBidi" w:cstheme="majorBidi"/>
          <w:color w:val="000000"/>
          <w:sz w:val="24"/>
          <w:szCs w:val="24"/>
        </w:rPr>
        <w:t>Special Rapporteur on the situation of human rights defenders, Mr. Michel Forst</w:t>
      </w:r>
      <w:r w:rsidRPr="00F35592">
        <w:rPr>
          <w:rFonts w:asciiTheme="majorBidi" w:eastAsia="Times New Roman" w:hAnsiTheme="majorBidi" w:cstheme="majorBidi"/>
          <w:sz w:val="24"/>
          <w:szCs w:val="24"/>
        </w:rPr>
        <w:t>;</w:t>
      </w:r>
    </w:p>
    <w:p w14:paraId="2DC3CFA7" w14:textId="3A67395D" w:rsidR="00731447" w:rsidRPr="00F35592" w:rsidRDefault="00AA735D" w:rsidP="0047251A">
      <w:pPr>
        <w:numPr>
          <w:ilvl w:val="0"/>
          <w:numId w:val="2"/>
        </w:numPr>
        <w:pBdr>
          <w:top w:val="nil"/>
          <w:left w:val="nil"/>
          <w:bottom w:val="nil"/>
          <w:right w:val="nil"/>
          <w:between w:val="nil"/>
        </w:pBdr>
        <w:spacing w:before="200" w:after="200" w:line="22" w:lineRule="atLeast"/>
        <w:rPr>
          <w:rFonts w:asciiTheme="majorBidi" w:hAnsiTheme="majorBidi" w:cstheme="majorBidi"/>
          <w:color w:val="000000"/>
          <w:sz w:val="24"/>
          <w:szCs w:val="24"/>
        </w:rPr>
      </w:pPr>
      <w:r w:rsidRPr="00F35592">
        <w:rPr>
          <w:rFonts w:asciiTheme="majorBidi" w:eastAsia="Times New Roman" w:hAnsiTheme="majorBidi" w:cstheme="majorBidi"/>
          <w:color w:val="000000"/>
          <w:sz w:val="24"/>
          <w:szCs w:val="24"/>
        </w:rPr>
        <w:t xml:space="preserve">The </w:t>
      </w:r>
      <w:r w:rsidR="00E60C99">
        <w:rPr>
          <w:rFonts w:asciiTheme="majorBidi" w:eastAsia="Times New Roman" w:hAnsiTheme="majorBidi" w:cstheme="majorBidi"/>
          <w:color w:val="000000"/>
          <w:sz w:val="24"/>
          <w:szCs w:val="24"/>
        </w:rPr>
        <w:t xml:space="preserve">UN </w:t>
      </w:r>
      <w:r w:rsidRPr="00F35592">
        <w:rPr>
          <w:rFonts w:asciiTheme="majorBidi" w:eastAsia="Times New Roman" w:hAnsiTheme="majorBidi" w:cstheme="majorBidi"/>
          <w:color w:val="000000"/>
          <w:sz w:val="24"/>
          <w:szCs w:val="24"/>
        </w:rPr>
        <w:t>Special Rapporteur on the promotion and protection of the right to freedom of opinion and expression, Mr. David Kaye;</w:t>
      </w:r>
    </w:p>
    <w:p w14:paraId="7816B2D4" w14:textId="0FA15E5F" w:rsidR="007E3457" w:rsidRPr="00F35592" w:rsidRDefault="007E3457" w:rsidP="0047251A">
      <w:pPr>
        <w:numPr>
          <w:ilvl w:val="0"/>
          <w:numId w:val="2"/>
        </w:numPr>
        <w:pBdr>
          <w:top w:val="nil"/>
          <w:left w:val="nil"/>
          <w:bottom w:val="nil"/>
          <w:right w:val="nil"/>
          <w:between w:val="nil"/>
        </w:pBdr>
        <w:spacing w:before="200" w:after="200" w:line="22" w:lineRule="atLeast"/>
        <w:rPr>
          <w:rFonts w:asciiTheme="majorBidi" w:hAnsiTheme="majorBidi" w:cstheme="majorBidi"/>
          <w:color w:val="000000"/>
          <w:sz w:val="24"/>
          <w:szCs w:val="24"/>
        </w:rPr>
      </w:pPr>
      <w:r w:rsidRPr="00F35592">
        <w:rPr>
          <w:rFonts w:asciiTheme="majorBidi" w:eastAsia="Times New Roman" w:hAnsiTheme="majorBidi" w:cstheme="majorBidi"/>
          <w:color w:val="000000"/>
          <w:sz w:val="24"/>
          <w:szCs w:val="24"/>
        </w:rPr>
        <w:t xml:space="preserve">The </w:t>
      </w:r>
      <w:r w:rsidR="00E60C99">
        <w:rPr>
          <w:rFonts w:asciiTheme="majorBidi" w:eastAsia="Times New Roman" w:hAnsiTheme="majorBidi" w:cstheme="majorBidi"/>
          <w:color w:val="000000"/>
          <w:sz w:val="24"/>
          <w:szCs w:val="24"/>
        </w:rPr>
        <w:t xml:space="preserve">UN </w:t>
      </w:r>
      <w:r w:rsidRPr="00F35592">
        <w:rPr>
          <w:rFonts w:asciiTheme="majorBidi" w:eastAsia="Times New Roman" w:hAnsiTheme="majorBidi" w:cstheme="majorBidi"/>
          <w:color w:val="000000"/>
          <w:sz w:val="24"/>
          <w:szCs w:val="24"/>
        </w:rPr>
        <w:t>Special Rapporteur on the rights to freedom of peaceful assembly and of association, Mr.</w:t>
      </w:r>
      <w:r w:rsidRPr="00F35592">
        <w:rPr>
          <w:rFonts w:asciiTheme="majorBidi" w:hAnsiTheme="majorBidi" w:cstheme="majorBidi"/>
          <w:sz w:val="24"/>
          <w:szCs w:val="24"/>
        </w:rPr>
        <w:t xml:space="preserve"> </w:t>
      </w:r>
      <w:r w:rsidRPr="00F35592">
        <w:rPr>
          <w:rFonts w:asciiTheme="majorBidi" w:eastAsia="Times New Roman" w:hAnsiTheme="majorBidi" w:cstheme="majorBidi"/>
          <w:color w:val="000000"/>
          <w:sz w:val="24"/>
          <w:szCs w:val="24"/>
        </w:rPr>
        <w:t>Clément Nyaletsossi Voule;</w:t>
      </w:r>
      <w:r w:rsidR="001937B2" w:rsidRPr="00F35592">
        <w:rPr>
          <w:rFonts w:asciiTheme="majorBidi" w:eastAsia="Times New Roman" w:hAnsiTheme="majorBidi" w:cstheme="majorBidi"/>
          <w:color w:val="000000"/>
          <w:sz w:val="24"/>
          <w:szCs w:val="24"/>
        </w:rPr>
        <w:t xml:space="preserve"> and</w:t>
      </w:r>
    </w:p>
    <w:p w14:paraId="036EB989" w14:textId="3CAE0C2D" w:rsidR="00731447" w:rsidRPr="00F35592" w:rsidRDefault="00F91BC5" w:rsidP="0047251A">
      <w:pPr>
        <w:numPr>
          <w:ilvl w:val="0"/>
          <w:numId w:val="2"/>
        </w:numPr>
        <w:pBdr>
          <w:top w:val="nil"/>
          <w:left w:val="nil"/>
          <w:bottom w:val="nil"/>
          <w:right w:val="nil"/>
          <w:between w:val="nil"/>
        </w:pBdr>
        <w:spacing w:before="200" w:after="200" w:line="22" w:lineRule="atLeast"/>
        <w:rPr>
          <w:rFonts w:asciiTheme="majorBidi" w:eastAsia="Times New Roman" w:hAnsiTheme="majorBidi" w:cstheme="majorBidi"/>
          <w:sz w:val="24"/>
          <w:szCs w:val="24"/>
        </w:rPr>
      </w:pPr>
      <w:r w:rsidRPr="00F35592">
        <w:rPr>
          <w:rFonts w:asciiTheme="majorBidi" w:eastAsia="Times New Roman" w:hAnsiTheme="majorBidi" w:cstheme="majorBidi"/>
          <w:sz w:val="24"/>
          <w:szCs w:val="24"/>
        </w:rPr>
        <w:t>​​​​​​​​</w:t>
      </w:r>
      <w:r w:rsidR="00AA735D" w:rsidRPr="00F35592">
        <w:rPr>
          <w:rFonts w:asciiTheme="majorBidi" w:eastAsia="Times New Roman" w:hAnsiTheme="majorBidi" w:cstheme="majorBidi"/>
          <w:sz w:val="24"/>
          <w:szCs w:val="24"/>
        </w:rPr>
        <w:t xml:space="preserve">The </w:t>
      </w:r>
      <w:r w:rsidR="00E60C99">
        <w:rPr>
          <w:rFonts w:asciiTheme="majorBidi" w:eastAsia="Times New Roman" w:hAnsiTheme="majorBidi" w:cstheme="majorBidi"/>
          <w:sz w:val="24"/>
          <w:szCs w:val="24"/>
        </w:rPr>
        <w:t xml:space="preserve">UN </w:t>
      </w:r>
      <w:r w:rsidR="00AA735D" w:rsidRPr="00F35592">
        <w:rPr>
          <w:rFonts w:asciiTheme="majorBidi" w:eastAsia="Times New Roman" w:hAnsiTheme="majorBidi" w:cstheme="majorBidi"/>
          <w:sz w:val="24"/>
          <w:szCs w:val="24"/>
        </w:rPr>
        <w:t>Independent Expert on human rights and international solidarity, Mr. Obiora C. Okafor</w:t>
      </w:r>
      <w:r w:rsidR="00AA735D" w:rsidRPr="00F35592">
        <w:rPr>
          <w:rFonts w:asciiTheme="majorBidi" w:eastAsia="Times New Roman" w:hAnsiTheme="majorBidi" w:cstheme="majorBidi"/>
          <w:color w:val="000000"/>
          <w:sz w:val="24"/>
          <w:szCs w:val="24"/>
        </w:rPr>
        <w:t>.</w:t>
      </w:r>
    </w:p>
    <w:p w14:paraId="49D079C3" w14:textId="77777777" w:rsidR="00731447" w:rsidRPr="00F35592" w:rsidRDefault="00AA735D" w:rsidP="0047251A">
      <w:pPr>
        <w:numPr>
          <w:ilvl w:val="0"/>
          <w:numId w:val="1"/>
        </w:numPr>
        <w:pBdr>
          <w:top w:val="nil"/>
          <w:left w:val="nil"/>
          <w:bottom w:val="nil"/>
          <w:right w:val="nil"/>
          <w:between w:val="nil"/>
        </w:pBdr>
        <w:tabs>
          <w:tab w:val="left" w:pos="630"/>
        </w:tabs>
        <w:spacing w:before="200" w:after="200" w:line="269" w:lineRule="auto"/>
        <w:ind w:left="426" w:right="4" w:hanging="426"/>
        <w:rPr>
          <w:rFonts w:asciiTheme="majorBidi" w:eastAsia="Times New Roman" w:hAnsiTheme="majorBidi" w:cstheme="majorBidi"/>
          <w:b/>
          <w:color w:val="000000"/>
          <w:sz w:val="24"/>
          <w:szCs w:val="24"/>
        </w:rPr>
      </w:pPr>
      <w:r w:rsidRPr="00F35592">
        <w:rPr>
          <w:rFonts w:asciiTheme="majorBidi" w:eastAsia="Times New Roman" w:hAnsiTheme="majorBidi" w:cstheme="majorBidi"/>
          <w:b/>
          <w:color w:val="000000"/>
          <w:sz w:val="24"/>
          <w:szCs w:val="24"/>
        </w:rPr>
        <w:t>Introduction</w:t>
      </w:r>
    </w:p>
    <w:p w14:paraId="5DDC0222" w14:textId="0A0F998B" w:rsidR="00731447" w:rsidRPr="00F35592" w:rsidRDefault="00DB64C0" w:rsidP="00DB64C0">
      <w:pPr>
        <w:pBdr>
          <w:top w:val="nil"/>
          <w:left w:val="nil"/>
          <w:bottom w:val="nil"/>
          <w:right w:val="nil"/>
          <w:between w:val="nil"/>
        </w:pBdr>
        <w:spacing w:before="200" w:after="200" w:line="269"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Al-Haq, </w:t>
      </w:r>
      <w:r w:rsidR="00AA735D" w:rsidRPr="00F35592">
        <w:rPr>
          <w:rFonts w:asciiTheme="majorBidi" w:eastAsia="Times New Roman" w:hAnsiTheme="majorBidi" w:cstheme="majorBidi"/>
          <w:color w:val="000000"/>
          <w:sz w:val="24"/>
          <w:szCs w:val="24"/>
        </w:rPr>
        <w:t>the Cairo Institute for Human Rights Studies</w:t>
      </w:r>
      <w:r>
        <w:rPr>
          <w:rFonts w:asciiTheme="majorBidi" w:eastAsia="Times New Roman" w:hAnsiTheme="majorBidi" w:cstheme="majorBidi"/>
          <w:color w:val="000000"/>
          <w:sz w:val="24"/>
          <w:szCs w:val="24"/>
        </w:rPr>
        <w:t xml:space="preserve">, BADIL </w:t>
      </w:r>
      <w:r w:rsidRPr="00DB64C0">
        <w:rPr>
          <w:rFonts w:asciiTheme="majorBidi" w:eastAsia="Times New Roman" w:hAnsiTheme="majorBidi" w:cstheme="majorBidi"/>
          <w:color w:val="000000"/>
          <w:sz w:val="24"/>
          <w:szCs w:val="24"/>
        </w:rPr>
        <w:t>Resource Center for Palestini</w:t>
      </w:r>
      <w:r>
        <w:rPr>
          <w:rFonts w:asciiTheme="majorBidi" w:eastAsia="Times New Roman" w:hAnsiTheme="majorBidi" w:cstheme="majorBidi"/>
          <w:color w:val="000000"/>
          <w:sz w:val="24"/>
          <w:szCs w:val="24"/>
        </w:rPr>
        <w:t>an Residency and Refugee Rights, and Community Action Center at Al-Quds University</w:t>
      </w:r>
      <w:r w:rsidR="00AA735D" w:rsidRPr="00F35592">
        <w:rPr>
          <w:rFonts w:asciiTheme="majorBidi" w:eastAsia="Times New Roman" w:hAnsiTheme="majorBidi" w:cstheme="majorBidi"/>
          <w:color w:val="000000"/>
          <w:sz w:val="24"/>
          <w:szCs w:val="24"/>
        </w:rPr>
        <w:t xml:space="preserve"> (hereinafter ‘our organisations’) address this joint urgent appeal to the United Nations (UN) Special Procedures on the imminent risk of deportation of Palestinian </w:t>
      </w:r>
      <w:r w:rsidR="00AA735D" w:rsidRPr="002B2421">
        <w:rPr>
          <w:rFonts w:asciiTheme="majorBidi" w:eastAsia="Times New Roman" w:hAnsiTheme="majorBidi" w:cstheme="majorBidi"/>
          <w:color w:val="000000"/>
          <w:sz w:val="24"/>
          <w:szCs w:val="24"/>
        </w:rPr>
        <w:t xml:space="preserve">resident Omar </w:t>
      </w:r>
      <w:r w:rsidR="00741991" w:rsidRPr="007E48AB">
        <w:rPr>
          <w:rFonts w:asciiTheme="majorBidi" w:eastAsia="Times New Roman" w:hAnsiTheme="majorBidi" w:cstheme="majorBidi"/>
          <w:color w:val="000000"/>
          <w:sz w:val="24"/>
          <w:szCs w:val="24"/>
        </w:rPr>
        <w:t>Saleh</w:t>
      </w:r>
      <w:r w:rsidR="00AA735D" w:rsidRPr="002B2421">
        <w:rPr>
          <w:rFonts w:asciiTheme="majorBidi" w:eastAsia="Times New Roman" w:hAnsiTheme="majorBidi" w:cstheme="majorBidi"/>
          <w:color w:val="000000"/>
          <w:sz w:val="24"/>
          <w:szCs w:val="24"/>
        </w:rPr>
        <w:t xml:space="preserve"> Barghouti, </w:t>
      </w:r>
      <w:r w:rsidR="00741991" w:rsidRPr="007E48AB">
        <w:rPr>
          <w:rFonts w:asciiTheme="majorBidi" w:eastAsia="Times New Roman" w:hAnsiTheme="majorBidi" w:cstheme="majorBidi"/>
          <w:color w:val="000000"/>
          <w:sz w:val="24"/>
          <w:szCs w:val="24"/>
        </w:rPr>
        <w:t>55</w:t>
      </w:r>
      <w:r w:rsidR="00AA735D" w:rsidRPr="002B2421">
        <w:rPr>
          <w:rFonts w:asciiTheme="majorBidi" w:eastAsia="Times New Roman" w:hAnsiTheme="majorBidi" w:cstheme="majorBidi"/>
          <w:color w:val="000000"/>
          <w:sz w:val="24"/>
          <w:szCs w:val="24"/>
        </w:rPr>
        <w:t>,</w:t>
      </w:r>
      <w:r w:rsidR="00AA735D" w:rsidRPr="00F35592">
        <w:rPr>
          <w:rFonts w:asciiTheme="majorBidi" w:eastAsia="Times New Roman" w:hAnsiTheme="majorBidi" w:cstheme="majorBidi"/>
          <w:color w:val="000000"/>
          <w:sz w:val="24"/>
          <w:szCs w:val="24"/>
        </w:rPr>
        <w:t xml:space="preserve"> following the initiation by the Israeli Minister of Interior of proceedings to punitively revoke his residency status for so-called ‘breach of allegiance’ to the State of Israel. In particular, this joint urgent appeal is addressed to the UN Special Rapporteur on the situation of human rights in the Palestinian territory occupied since 1967, Mr. S. Michael Lynk, </w:t>
      </w:r>
      <w:r w:rsidR="00057485" w:rsidRPr="00F35592">
        <w:rPr>
          <w:rFonts w:asciiTheme="majorBidi" w:eastAsia="Times New Roman" w:hAnsiTheme="majorBidi" w:cstheme="majorBidi"/>
          <w:color w:val="000000"/>
          <w:sz w:val="24"/>
          <w:szCs w:val="24"/>
        </w:rPr>
        <w:t xml:space="preserve">the Special Rapporteur on the situation of human rights defenders, Mr. Michel Forst, </w:t>
      </w:r>
      <w:r w:rsidR="00AA735D" w:rsidRPr="00F35592">
        <w:rPr>
          <w:rFonts w:asciiTheme="majorBidi" w:eastAsia="Times New Roman" w:hAnsiTheme="majorBidi" w:cstheme="majorBidi"/>
          <w:color w:val="000000"/>
          <w:sz w:val="24"/>
          <w:szCs w:val="24"/>
        </w:rPr>
        <w:t xml:space="preserve">the Special Rapporteur on the promotion and protection of the right to freedom of opinion and expression, Mr. David Kaye, </w:t>
      </w:r>
      <w:r w:rsidR="00057485" w:rsidRPr="00F35592">
        <w:rPr>
          <w:rFonts w:asciiTheme="majorBidi" w:eastAsia="Times New Roman" w:hAnsiTheme="majorBidi" w:cstheme="majorBidi"/>
          <w:color w:val="000000"/>
          <w:sz w:val="24"/>
          <w:szCs w:val="24"/>
        </w:rPr>
        <w:t>the Special Rapporteur on the rights to freedom of peaceful assembly and of association, Mr.</w:t>
      </w:r>
      <w:r w:rsidR="00057485" w:rsidRPr="00F35592">
        <w:rPr>
          <w:rFonts w:asciiTheme="majorBidi" w:hAnsiTheme="majorBidi" w:cstheme="majorBidi"/>
          <w:sz w:val="24"/>
          <w:szCs w:val="24"/>
        </w:rPr>
        <w:t xml:space="preserve"> </w:t>
      </w:r>
      <w:r w:rsidR="00057485" w:rsidRPr="00F35592">
        <w:rPr>
          <w:rFonts w:asciiTheme="majorBidi" w:eastAsia="Times New Roman" w:hAnsiTheme="majorBidi" w:cstheme="majorBidi"/>
          <w:color w:val="000000"/>
          <w:sz w:val="24"/>
          <w:szCs w:val="24"/>
        </w:rPr>
        <w:t xml:space="preserve">Clément Nyaletsossi Voule, </w:t>
      </w:r>
      <w:r w:rsidR="00F91BC5" w:rsidRPr="00F35592">
        <w:rPr>
          <w:rFonts w:asciiTheme="majorBidi" w:eastAsia="Times New Roman" w:hAnsiTheme="majorBidi" w:cstheme="majorBidi"/>
          <w:sz w:val="24"/>
          <w:szCs w:val="24"/>
        </w:rPr>
        <w:t>and</w:t>
      </w:r>
      <w:r w:rsidR="00AA735D" w:rsidRPr="00F35592">
        <w:rPr>
          <w:rFonts w:asciiTheme="majorBidi" w:eastAsia="Times New Roman" w:hAnsiTheme="majorBidi" w:cstheme="majorBidi"/>
          <w:sz w:val="24"/>
          <w:szCs w:val="24"/>
        </w:rPr>
        <w:t xml:space="preserve"> </w:t>
      </w:r>
      <w:r w:rsidR="00057485" w:rsidRPr="00F35592">
        <w:rPr>
          <w:rFonts w:asciiTheme="majorBidi" w:eastAsia="Times New Roman" w:hAnsiTheme="majorBidi" w:cstheme="majorBidi"/>
          <w:sz w:val="24"/>
          <w:szCs w:val="24"/>
        </w:rPr>
        <w:t xml:space="preserve">the Independent Expert on human rights and international solidarity, </w:t>
      </w:r>
      <w:r w:rsidR="00AA735D" w:rsidRPr="00F35592">
        <w:rPr>
          <w:rFonts w:asciiTheme="majorBidi" w:eastAsia="Times New Roman" w:hAnsiTheme="majorBidi" w:cstheme="majorBidi"/>
          <w:sz w:val="24"/>
          <w:szCs w:val="24"/>
        </w:rPr>
        <w:t xml:space="preserve">Mr. Obiora C. Okafor, </w:t>
      </w:r>
      <w:r w:rsidR="00AA735D" w:rsidRPr="00F35592">
        <w:rPr>
          <w:rFonts w:asciiTheme="majorBidi" w:eastAsia="Times New Roman" w:hAnsiTheme="majorBidi" w:cstheme="majorBidi"/>
          <w:color w:val="000000"/>
          <w:sz w:val="24"/>
          <w:szCs w:val="24"/>
        </w:rPr>
        <w:t xml:space="preserve">in addition to other relevant </w:t>
      </w:r>
      <w:r w:rsidR="00057485" w:rsidRPr="00F35592">
        <w:rPr>
          <w:rFonts w:asciiTheme="majorBidi" w:eastAsia="Times New Roman" w:hAnsiTheme="majorBidi" w:cstheme="majorBidi"/>
          <w:color w:val="000000"/>
          <w:sz w:val="24"/>
          <w:szCs w:val="24"/>
        </w:rPr>
        <w:t xml:space="preserve">UN </w:t>
      </w:r>
      <w:r w:rsidR="00AA735D" w:rsidRPr="00F35592">
        <w:rPr>
          <w:rFonts w:asciiTheme="majorBidi" w:eastAsia="Times New Roman" w:hAnsiTheme="majorBidi" w:cstheme="majorBidi"/>
          <w:color w:val="000000"/>
          <w:sz w:val="24"/>
          <w:szCs w:val="24"/>
        </w:rPr>
        <w:t>Special Procedures mandates who may be seized of the matter.</w:t>
      </w:r>
    </w:p>
    <w:p w14:paraId="5C4AB974" w14:textId="77777777" w:rsidR="00731447" w:rsidRPr="00F35592" w:rsidRDefault="00AA735D" w:rsidP="0047251A">
      <w:pPr>
        <w:numPr>
          <w:ilvl w:val="0"/>
          <w:numId w:val="1"/>
        </w:numPr>
        <w:pBdr>
          <w:top w:val="nil"/>
          <w:left w:val="nil"/>
          <w:bottom w:val="nil"/>
          <w:right w:val="nil"/>
          <w:between w:val="nil"/>
        </w:pBdr>
        <w:tabs>
          <w:tab w:val="left" w:pos="630"/>
        </w:tabs>
        <w:spacing w:before="200" w:after="200" w:line="269" w:lineRule="auto"/>
        <w:ind w:left="426" w:right="4" w:hanging="426"/>
        <w:rPr>
          <w:rFonts w:asciiTheme="majorBidi" w:eastAsia="Times New Roman" w:hAnsiTheme="majorBidi" w:cstheme="majorBidi"/>
          <w:b/>
          <w:color w:val="000000"/>
          <w:sz w:val="24"/>
          <w:szCs w:val="24"/>
        </w:rPr>
      </w:pPr>
      <w:bookmarkStart w:id="1" w:name="_gjdgxs" w:colFirst="0" w:colLast="0"/>
      <w:bookmarkEnd w:id="1"/>
      <w:r w:rsidRPr="00F35592">
        <w:rPr>
          <w:rFonts w:asciiTheme="majorBidi" w:eastAsia="Times New Roman" w:hAnsiTheme="majorBidi" w:cstheme="majorBidi"/>
          <w:b/>
          <w:color w:val="000000"/>
          <w:sz w:val="24"/>
          <w:szCs w:val="24"/>
        </w:rPr>
        <w:lastRenderedPageBreak/>
        <w:t>Facts of the case</w:t>
      </w:r>
    </w:p>
    <w:p w14:paraId="39B96E95" w14:textId="77064013" w:rsidR="00731447" w:rsidRPr="00F35592" w:rsidRDefault="00AA735D" w:rsidP="0047251A">
      <w:pPr>
        <w:pBdr>
          <w:top w:val="nil"/>
          <w:left w:val="nil"/>
          <w:bottom w:val="nil"/>
          <w:right w:val="nil"/>
          <w:between w:val="nil"/>
        </w:pBdr>
        <w:spacing w:before="200" w:after="200" w:line="269" w:lineRule="auto"/>
        <w:jc w:val="both"/>
        <w:rPr>
          <w:rFonts w:asciiTheme="majorBidi" w:eastAsia="Times New Roman" w:hAnsiTheme="majorBidi" w:cstheme="majorBidi"/>
          <w:color w:val="000000"/>
          <w:sz w:val="24"/>
          <w:szCs w:val="24"/>
        </w:rPr>
      </w:pPr>
      <w:r w:rsidRPr="00F35592">
        <w:rPr>
          <w:rFonts w:asciiTheme="majorBidi" w:eastAsia="Times New Roman" w:hAnsiTheme="majorBidi" w:cstheme="majorBidi"/>
          <w:color w:val="000000"/>
          <w:sz w:val="24"/>
          <w:szCs w:val="24"/>
        </w:rPr>
        <w:t xml:space="preserve">On 6 October 2019, Israeli Interior Minister Arye Deri announced that he is working towards revoking the residency status of Palestinian resident and human rights defender Omar Barghouti. </w:t>
      </w:r>
      <w:r w:rsidR="00B32C8A" w:rsidRPr="00F35592">
        <w:rPr>
          <w:rFonts w:asciiTheme="majorBidi" w:eastAsia="Times New Roman" w:hAnsiTheme="majorBidi" w:cstheme="majorBidi"/>
          <w:color w:val="000000"/>
          <w:sz w:val="24"/>
          <w:szCs w:val="24"/>
        </w:rPr>
        <w:t>According to the announcement, the Israeli Interior Minister had</w:t>
      </w:r>
      <w:r w:rsidRPr="00F35592">
        <w:rPr>
          <w:rFonts w:asciiTheme="majorBidi" w:eastAsia="Times New Roman" w:hAnsiTheme="majorBidi" w:cstheme="majorBidi"/>
          <w:color w:val="000000"/>
          <w:sz w:val="24"/>
          <w:szCs w:val="24"/>
        </w:rPr>
        <w:t xml:space="preserve"> “instructed the legal department of the Population, Immigration and Borders Authority to prepare the legal framework to revoke Barghouti’s resident status,”</w:t>
      </w:r>
      <w:r w:rsidRPr="00F35592">
        <w:rPr>
          <w:rFonts w:asciiTheme="majorBidi" w:eastAsia="Times New Roman" w:hAnsiTheme="majorBidi" w:cstheme="majorBidi"/>
          <w:color w:val="000000"/>
          <w:sz w:val="24"/>
          <w:szCs w:val="24"/>
          <w:vertAlign w:val="superscript"/>
        </w:rPr>
        <w:footnoteReference w:id="1"/>
      </w:r>
      <w:r w:rsidRPr="00F35592">
        <w:rPr>
          <w:rFonts w:asciiTheme="majorBidi" w:eastAsia="Times New Roman" w:hAnsiTheme="majorBidi" w:cstheme="majorBidi"/>
          <w:color w:val="000000"/>
          <w:sz w:val="24"/>
          <w:szCs w:val="24"/>
        </w:rPr>
        <w:t xml:space="preserve"> placing him at imminent </w:t>
      </w:r>
      <w:r w:rsidR="00B32C8A" w:rsidRPr="00F35592">
        <w:rPr>
          <w:rFonts w:asciiTheme="majorBidi" w:eastAsia="Times New Roman" w:hAnsiTheme="majorBidi" w:cstheme="majorBidi"/>
          <w:color w:val="000000"/>
          <w:sz w:val="24"/>
          <w:szCs w:val="24"/>
        </w:rPr>
        <w:t>risk</w:t>
      </w:r>
      <w:r w:rsidRPr="00F35592">
        <w:rPr>
          <w:rFonts w:asciiTheme="majorBidi" w:eastAsia="Times New Roman" w:hAnsiTheme="majorBidi" w:cstheme="majorBidi"/>
          <w:color w:val="000000"/>
          <w:sz w:val="24"/>
          <w:szCs w:val="24"/>
        </w:rPr>
        <w:t xml:space="preserve"> of deportation. Prior to this announcement, Israel’s Attorney-General, Dina Zilber, </w:t>
      </w:r>
      <w:r w:rsidR="00B32C8A" w:rsidRPr="00F35592">
        <w:rPr>
          <w:rFonts w:asciiTheme="majorBidi" w:eastAsia="Times New Roman" w:hAnsiTheme="majorBidi" w:cstheme="majorBidi"/>
          <w:color w:val="000000"/>
          <w:sz w:val="24"/>
          <w:szCs w:val="24"/>
        </w:rPr>
        <w:t xml:space="preserve">had </w:t>
      </w:r>
      <w:r w:rsidRPr="00F35592">
        <w:rPr>
          <w:rFonts w:asciiTheme="majorBidi" w:eastAsia="Times New Roman" w:hAnsiTheme="majorBidi" w:cstheme="majorBidi"/>
          <w:color w:val="000000"/>
          <w:sz w:val="24"/>
          <w:szCs w:val="24"/>
        </w:rPr>
        <w:t>confirmed that the Minister of Interior has the prerogative to revoke the residency status of a person who is accused of ‘breaching allegiance’ to Israel</w:t>
      </w:r>
      <w:r w:rsidRPr="00F35592">
        <w:rPr>
          <w:rFonts w:asciiTheme="majorBidi" w:eastAsia="Times New Roman" w:hAnsiTheme="majorBidi" w:cstheme="majorBidi"/>
          <w:sz w:val="24"/>
          <w:szCs w:val="24"/>
        </w:rPr>
        <w:t xml:space="preserve"> (</w:t>
      </w:r>
      <w:r w:rsidRPr="00F35592">
        <w:rPr>
          <w:rFonts w:asciiTheme="majorBidi" w:eastAsia="Times New Roman" w:hAnsiTheme="majorBidi" w:cstheme="majorBidi"/>
          <w:i/>
          <w:sz w:val="24"/>
          <w:szCs w:val="24"/>
        </w:rPr>
        <w:t xml:space="preserve">see </w:t>
      </w:r>
      <w:r w:rsidRPr="00F35592">
        <w:rPr>
          <w:rFonts w:asciiTheme="majorBidi" w:eastAsia="Times New Roman" w:hAnsiTheme="majorBidi" w:cstheme="majorBidi"/>
          <w:b/>
          <w:sz w:val="24"/>
          <w:szCs w:val="24"/>
        </w:rPr>
        <w:t>Annex 1</w:t>
      </w:r>
      <w:r w:rsidRPr="00F35592">
        <w:rPr>
          <w:rFonts w:asciiTheme="majorBidi" w:eastAsia="Times New Roman" w:hAnsiTheme="majorBidi" w:cstheme="majorBidi"/>
          <w:sz w:val="24"/>
          <w:szCs w:val="24"/>
        </w:rPr>
        <w:t>)</w:t>
      </w:r>
      <w:r w:rsidRPr="00F35592">
        <w:rPr>
          <w:rFonts w:asciiTheme="majorBidi" w:eastAsia="Times New Roman" w:hAnsiTheme="majorBidi" w:cstheme="majorBidi"/>
          <w:color w:val="000000"/>
          <w:sz w:val="24"/>
          <w:szCs w:val="24"/>
        </w:rPr>
        <w:t>.</w:t>
      </w:r>
      <w:r w:rsidRPr="00F35592">
        <w:rPr>
          <w:rFonts w:asciiTheme="majorBidi" w:eastAsia="Times New Roman" w:hAnsiTheme="majorBidi" w:cstheme="majorBidi"/>
          <w:color w:val="000000"/>
          <w:sz w:val="24"/>
          <w:szCs w:val="24"/>
          <w:vertAlign w:val="superscript"/>
        </w:rPr>
        <w:footnoteReference w:id="2"/>
      </w:r>
      <w:r w:rsidRPr="00F35592">
        <w:rPr>
          <w:rFonts w:asciiTheme="majorBidi" w:eastAsia="Times New Roman" w:hAnsiTheme="majorBidi" w:cstheme="majorBidi"/>
          <w:color w:val="000000"/>
          <w:sz w:val="24"/>
          <w:szCs w:val="24"/>
        </w:rPr>
        <w:t xml:space="preserve"> Barghouti is a resident of Israel, a status he received in 1994, following a process of family unification with his wife</w:t>
      </w:r>
      <w:r w:rsidR="00B32C8A" w:rsidRPr="00F35592">
        <w:rPr>
          <w:rFonts w:asciiTheme="majorBidi" w:eastAsia="Times New Roman" w:hAnsiTheme="majorBidi" w:cstheme="majorBidi"/>
          <w:color w:val="000000"/>
          <w:sz w:val="24"/>
          <w:szCs w:val="24"/>
        </w:rPr>
        <w:t>,</w:t>
      </w:r>
      <w:r w:rsidRPr="00F35592">
        <w:rPr>
          <w:rFonts w:asciiTheme="majorBidi" w:eastAsia="Times New Roman" w:hAnsiTheme="majorBidi" w:cstheme="majorBidi"/>
          <w:color w:val="000000"/>
          <w:sz w:val="24"/>
          <w:szCs w:val="24"/>
        </w:rPr>
        <w:t xml:space="preserve"> who is a Palestinian citizen of Israel.</w:t>
      </w:r>
    </w:p>
    <w:p w14:paraId="19D422FF" w14:textId="66796F86" w:rsidR="00731447" w:rsidRPr="00F35592" w:rsidRDefault="00AA735D" w:rsidP="0047251A">
      <w:pPr>
        <w:pBdr>
          <w:top w:val="nil"/>
          <w:left w:val="nil"/>
          <w:bottom w:val="nil"/>
          <w:right w:val="nil"/>
          <w:between w:val="nil"/>
        </w:pBdr>
        <w:spacing w:before="200" w:after="200" w:line="269" w:lineRule="auto"/>
        <w:jc w:val="both"/>
        <w:rPr>
          <w:rFonts w:asciiTheme="majorBidi" w:eastAsia="Times New Roman" w:hAnsiTheme="majorBidi" w:cstheme="majorBidi"/>
          <w:color w:val="000000"/>
          <w:sz w:val="24"/>
          <w:szCs w:val="24"/>
        </w:rPr>
      </w:pPr>
      <w:r w:rsidRPr="00F35592">
        <w:rPr>
          <w:rFonts w:asciiTheme="majorBidi" w:eastAsia="Times New Roman" w:hAnsiTheme="majorBidi" w:cstheme="majorBidi"/>
          <w:color w:val="000000"/>
          <w:sz w:val="24"/>
          <w:szCs w:val="24"/>
        </w:rPr>
        <w:t>According to the Interior Minister’s announcement, he plans to act quickly to revoke Barghouti’s resident status, because “[h]e is a person who is doing everything to hurt the country, and therefore, he cannot enjoy the privilege of being a resident of Israel.”</w:t>
      </w:r>
      <w:r w:rsidRPr="00F35592">
        <w:rPr>
          <w:rFonts w:asciiTheme="majorBidi" w:eastAsia="Times New Roman" w:hAnsiTheme="majorBidi" w:cstheme="majorBidi"/>
          <w:color w:val="000000"/>
          <w:sz w:val="24"/>
          <w:szCs w:val="24"/>
          <w:vertAlign w:val="superscript"/>
        </w:rPr>
        <w:footnoteReference w:id="3"/>
      </w:r>
      <w:r w:rsidRPr="00F35592">
        <w:rPr>
          <w:rFonts w:asciiTheme="majorBidi" w:eastAsia="Times New Roman" w:hAnsiTheme="majorBidi" w:cstheme="majorBidi"/>
          <w:color w:val="000000"/>
          <w:sz w:val="24"/>
          <w:szCs w:val="24"/>
        </w:rPr>
        <w:t xml:space="preserve"> As a Palestinian human rights defender and co-founder of </w:t>
      </w:r>
      <w:r w:rsidRPr="002B2421">
        <w:rPr>
          <w:rFonts w:asciiTheme="majorBidi" w:eastAsia="Times New Roman" w:hAnsiTheme="majorBidi" w:cstheme="majorBidi"/>
          <w:color w:val="000000"/>
          <w:sz w:val="24"/>
          <w:szCs w:val="24"/>
        </w:rPr>
        <w:t xml:space="preserve">the </w:t>
      </w:r>
      <w:r w:rsidR="00741991" w:rsidRPr="007E48AB">
        <w:rPr>
          <w:rFonts w:asciiTheme="majorBidi" w:eastAsia="Times New Roman" w:hAnsiTheme="majorBidi" w:cstheme="majorBidi"/>
          <w:color w:val="000000"/>
          <w:sz w:val="24"/>
          <w:szCs w:val="24"/>
        </w:rPr>
        <w:t>nonviolent</w:t>
      </w:r>
      <w:r w:rsidR="00741991" w:rsidRPr="002B2421">
        <w:rPr>
          <w:rFonts w:asciiTheme="majorBidi" w:eastAsia="Times New Roman" w:hAnsiTheme="majorBidi" w:cstheme="majorBidi"/>
          <w:color w:val="000000"/>
          <w:sz w:val="24"/>
          <w:szCs w:val="24"/>
        </w:rPr>
        <w:t xml:space="preserve"> </w:t>
      </w:r>
      <w:r w:rsidRPr="002B2421">
        <w:rPr>
          <w:rFonts w:asciiTheme="majorBidi" w:eastAsia="Times New Roman" w:hAnsiTheme="majorBidi" w:cstheme="majorBidi"/>
          <w:color w:val="000000"/>
          <w:sz w:val="24"/>
          <w:szCs w:val="24"/>
        </w:rPr>
        <w:t xml:space="preserve">Boycott, Divestment and Sanctions </w:t>
      </w:r>
      <w:r w:rsidR="00333A67" w:rsidRPr="007E48AB">
        <w:rPr>
          <w:rFonts w:asciiTheme="majorBidi" w:eastAsia="Times New Roman" w:hAnsiTheme="majorBidi" w:cstheme="majorBidi"/>
          <w:color w:val="000000"/>
          <w:sz w:val="24"/>
          <w:szCs w:val="24"/>
        </w:rPr>
        <w:t>(BDS) m</w:t>
      </w:r>
      <w:r w:rsidRPr="007E48AB">
        <w:rPr>
          <w:rFonts w:asciiTheme="majorBidi" w:eastAsia="Times New Roman" w:hAnsiTheme="majorBidi" w:cstheme="majorBidi"/>
          <w:color w:val="000000"/>
          <w:sz w:val="24"/>
          <w:szCs w:val="24"/>
        </w:rPr>
        <w:t>ovement</w:t>
      </w:r>
      <w:r w:rsidR="00333A67" w:rsidRPr="007E48AB">
        <w:rPr>
          <w:rFonts w:asciiTheme="majorBidi" w:eastAsia="Times New Roman" w:hAnsiTheme="majorBidi" w:cstheme="majorBidi"/>
          <w:color w:val="000000"/>
          <w:sz w:val="24"/>
          <w:szCs w:val="24"/>
        </w:rPr>
        <w:t xml:space="preserve"> for Palestinian rights</w:t>
      </w:r>
      <w:r w:rsidRPr="002B2421">
        <w:rPr>
          <w:rFonts w:asciiTheme="majorBidi" w:eastAsia="Times New Roman" w:hAnsiTheme="majorBidi" w:cstheme="majorBidi"/>
          <w:color w:val="000000"/>
          <w:sz w:val="24"/>
          <w:szCs w:val="24"/>
        </w:rPr>
        <w:t>, Omar Barg</w:t>
      </w:r>
      <w:r w:rsidRPr="00F35592">
        <w:rPr>
          <w:rFonts w:asciiTheme="majorBidi" w:eastAsia="Times New Roman" w:hAnsiTheme="majorBidi" w:cstheme="majorBidi"/>
          <w:color w:val="000000"/>
          <w:sz w:val="24"/>
          <w:szCs w:val="24"/>
        </w:rPr>
        <w:t xml:space="preserve">houti has been targeted by Israel for his calls for freedom, justice, and equality for the Palestinian people in accordance with international law. Accordingly, </w:t>
      </w:r>
      <w:r w:rsidR="00D7572E" w:rsidRPr="00F35592">
        <w:rPr>
          <w:rFonts w:asciiTheme="majorBidi" w:eastAsia="Times New Roman" w:hAnsiTheme="majorBidi" w:cstheme="majorBidi"/>
          <w:color w:val="000000"/>
          <w:sz w:val="24"/>
          <w:szCs w:val="24"/>
        </w:rPr>
        <w:t xml:space="preserve">the threat to revoke </w:t>
      </w:r>
      <w:r w:rsidRPr="00F35592">
        <w:rPr>
          <w:rFonts w:asciiTheme="majorBidi" w:eastAsia="Times New Roman" w:hAnsiTheme="majorBidi" w:cstheme="majorBidi"/>
          <w:color w:val="000000"/>
          <w:sz w:val="24"/>
          <w:szCs w:val="24"/>
        </w:rPr>
        <w:t>Barghouti’s residency</w:t>
      </w:r>
      <w:r w:rsidR="00E60C99">
        <w:rPr>
          <w:rFonts w:asciiTheme="majorBidi" w:eastAsia="Times New Roman" w:hAnsiTheme="majorBidi" w:cstheme="majorBidi"/>
          <w:color w:val="000000"/>
          <w:sz w:val="24"/>
          <w:szCs w:val="24"/>
        </w:rPr>
        <w:t xml:space="preserve"> status</w:t>
      </w:r>
      <w:r w:rsidRPr="00F35592">
        <w:rPr>
          <w:rFonts w:asciiTheme="majorBidi" w:eastAsia="Times New Roman" w:hAnsiTheme="majorBidi" w:cstheme="majorBidi"/>
          <w:color w:val="000000"/>
          <w:sz w:val="24"/>
          <w:szCs w:val="24"/>
        </w:rPr>
        <w:t xml:space="preserve"> amounts to a clear assault on his right to freedom of expression, including his work as a human rights defender and his calls for accountability for Israel’s widespread and systematic human rights violations </w:t>
      </w:r>
      <w:r w:rsidR="00E60C99">
        <w:rPr>
          <w:rFonts w:asciiTheme="majorBidi" w:eastAsia="Times New Roman" w:hAnsiTheme="majorBidi" w:cstheme="majorBidi"/>
          <w:color w:val="000000"/>
          <w:sz w:val="24"/>
          <w:szCs w:val="24"/>
        </w:rPr>
        <w:t xml:space="preserve">committed </w:t>
      </w:r>
      <w:r w:rsidRPr="00F35592">
        <w:rPr>
          <w:rFonts w:asciiTheme="majorBidi" w:eastAsia="Times New Roman" w:hAnsiTheme="majorBidi" w:cstheme="majorBidi"/>
          <w:color w:val="000000"/>
          <w:sz w:val="24"/>
          <w:szCs w:val="24"/>
        </w:rPr>
        <w:t>against the Palestinian people.</w:t>
      </w:r>
    </w:p>
    <w:p w14:paraId="7A4F5472" w14:textId="1AA9A057" w:rsidR="00731447" w:rsidRPr="00F35592" w:rsidRDefault="00AA735D" w:rsidP="0047251A">
      <w:pPr>
        <w:pBdr>
          <w:top w:val="nil"/>
          <w:left w:val="nil"/>
          <w:bottom w:val="nil"/>
          <w:right w:val="nil"/>
          <w:between w:val="nil"/>
        </w:pBdr>
        <w:spacing w:before="200" w:after="200" w:line="269" w:lineRule="auto"/>
        <w:jc w:val="both"/>
        <w:rPr>
          <w:rFonts w:asciiTheme="majorBidi" w:eastAsia="Times New Roman" w:hAnsiTheme="majorBidi" w:cstheme="majorBidi"/>
          <w:color w:val="000000"/>
          <w:sz w:val="24"/>
          <w:szCs w:val="24"/>
        </w:rPr>
      </w:pPr>
      <w:r w:rsidRPr="00F35592">
        <w:rPr>
          <w:rFonts w:asciiTheme="majorBidi" w:eastAsia="Times New Roman" w:hAnsiTheme="majorBidi" w:cstheme="majorBidi"/>
          <w:color w:val="000000"/>
          <w:sz w:val="24"/>
          <w:szCs w:val="24"/>
        </w:rPr>
        <w:t xml:space="preserve">The statement made by Interior Minister Deri, dated 6 October 2019, is only the latest manifestation of Israel’s </w:t>
      </w:r>
      <w:r w:rsidR="00E60C99">
        <w:rPr>
          <w:rFonts w:asciiTheme="majorBidi" w:eastAsia="Times New Roman" w:hAnsiTheme="majorBidi" w:cstheme="majorBidi"/>
          <w:color w:val="000000"/>
          <w:sz w:val="24"/>
          <w:szCs w:val="24"/>
        </w:rPr>
        <w:t>S</w:t>
      </w:r>
      <w:r w:rsidRPr="00F35592">
        <w:rPr>
          <w:rFonts w:asciiTheme="majorBidi" w:eastAsia="Times New Roman" w:hAnsiTheme="majorBidi" w:cstheme="majorBidi"/>
          <w:color w:val="000000"/>
          <w:sz w:val="24"/>
          <w:szCs w:val="24"/>
        </w:rPr>
        <w:t xml:space="preserve">tate-led repression </w:t>
      </w:r>
      <w:r w:rsidR="007D3589" w:rsidRPr="00F35592">
        <w:rPr>
          <w:rFonts w:asciiTheme="majorBidi" w:eastAsia="Times New Roman" w:hAnsiTheme="majorBidi" w:cstheme="majorBidi"/>
          <w:color w:val="000000"/>
          <w:sz w:val="24"/>
          <w:szCs w:val="24"/>
        </w:rPr>
        <w:t>of</w:t>
      </w:r>
      <w:r w:rsidRPr="00F35592">
        <w:rPr>
          <w:rFonts w:asciiTheme="majorBidi" w:eastAsia="Times New Roman" w:hAnsiTheme="majorBidi" w:cstheme="majorBidi"/>
          <w:color w:val="000000"/>
          <w:sz w:val="24"/>
          <w:szCs w:val="24"/>
        </w:rPr>
        <w:t xml:space="preserve"> Omar Barghouti for his human rights work. To date, several Israeli ministers, including Deri, have targeted Barghouti, frequently delaying the renewal of his travel document, which in effect ban</w:t>
      </w:r>
      <w:r w:rsidR="007D3589" w:rsidRPr="00F35592">
        <w:rPr>
          <w:rFonts w:asciiTheme="majorBidi" w:eastAsia="Times New Roman" w:hAnsiTheme="majorBidi" w:cstheme="majorBidi"/>
          <w:color w:val="000000"/>
          <w:sz w:val="24"/>
          <w:szCs w:val="24"/>
        </w:rPr>
        <w:t>s</w:t>
      </w:r>
      <w:r w:rsidRPr="00F35592">
        <w:rPr>
          <w:rFonts w:asciiTheme="majorBidi" w:eastAsia="Times New Roman" w:hAnsiTheme="majorBidi" w:cstheme="majorBidi"/>
          <w:color w:val="000000"/>
          <w:sz w:val="24"/>
          <w:szCs w:val="24"/>
        </w:rPr>
        <w:t xml:space="preserve"> him from travel</w:t>
      </w:r>
      <w:r w:rsidR="007D3589" w:rsidRPr="00F35592">
        <w:rPr>
          <w:rFonts w:asciiTheme="majorBidi" w:eastAsia="Times New Roman" w:hAnsiTheme="majorBidi" w:cstheme="majorBidi"/>
          <w:color w:val="000000"/>
          <w:sz w:val="24"/>
          <w:szCs w:val="24"/>
        </w:rPr>
        <w:t>ing</w:t>
      </w:r>
      <w:r w:rsidRPr="00F35592">
        <w:rPr>
          <w:rFonts w:asciiTheme="majorBidi" w:eastAsia="Times New Roman" w:hAnsiTheme="majorBidi" w:cstheme="majorBidi"/>
          <w:color w:val="000000"/>
          <w:sz w:val="24"/>
          <w:szCs w:val="24"/>
        </w:rPr>
        <w:t>,</w:t>
      </w:r>
      <w:r w:rsidR="00B32C8A" w:rsidRPr="00F35592">
        <w:rPr>
          <w:rFonts w:asciiTheme="majorBidi" w:eastAsia="Times New Roman" w:hAnsiTheme="majorBidi" w:cstheme="majorBidi"/>
          <w:color w:val="000000"/>
          <w:sz w:val="24"/>
          <w:szCs w:val="24"/>
        </w:rPr>
        <w:t xml:space="preserve"> </w:t>
      </w:r>
      <w:r w:rsidRPr="00F35592">
        <w:rPr>
          <w:rFonts w:asciiTheme="majorBidi" w:eastAsia="Times New Roman" w:hAnsiTheme="majorBidi" w:cstheme="majorBidi"/>
          <w:color w:val="000000"/>
          <w:sz w:val="24"/>
          <w:szCs w:val="24"/>
        </w:rPr>
        <w:t xml:space="preserve">threatening his right to family life by calling for the revocation of his residency status, </w:t>
      </w:r>
      <w:r w:rsidR="007D3589" w:rsidRPr="00F35592">
        <w:rPr>
          <w:rFonts w:asciiTheme="majorBidi" w:eastAsia="Times New Roman" w:hAnsiTheme="majorBidi" w:cstheme="majorBidi"/>
          <w:color w:val="000000"/>
          <w:sz w:val="24"/>
          <w:szCs w:val="24"/>
        </w:rPr>
        <w:t>and</w:t>
      </w:r>
      <w:r w:rsidRPr="00F35592">
        <w:rPr>
          <w:rFonts w:asciiTheme="majorBidi" w:eastAsia="Times New Roman" w:hAnsiTheme="majorBidi" w:cstheme="majorBidi"/>
          <w:color w:val="000000"/>
          <w:sz w:val="24"/>
          <w:szCs w:val="24"/>
        </w:rPr>
        <w:t xml:space="preserve"> making statements containing threats to his life and personal safety</w:t>
      </w:r>
      <w:r w:rsidR="00B32C8A" w:rsidRPr="00F35592">
        <w:rPr>
          <w:rFonts w:asciiTheme="majorBidi" w:eastAsia="Times New Roman" w:hAnsiTheme="majorBidi" w:cstheme="majorBidi"/>
          <w:color w:val="000000"/>
          <w:sz w:val="24"/>
          <w:szCs w:val="24"/>
        </w:rPr>
        <w:t>.</w:t>
      </w:r>
      <w:r w:rsidRPr="00F35592">
        <w:rPr>
          <w:rFonts w:asciiTheme="majorBidi" w:eastAsia="Times New Roman" w:hAnsiTheme="majorBidi" w:cstheme="majorBidi"/>
          <w:color w:val="000000"/>
          <w:sz w:val="24"/>
          <w:szCs w:val="24"/>
          <w:vertAlign w:val="superscript"/>
        </w:rPr>
        <w:footnoteReference w:id="4"/>
      </w:r>
      <w:r w:rsidRPr="00F35592">
        <w:rPr>
          <w:rFonts w:asciiTheme="majorBidi" w:eastAsia="Times New Roman" w:hAnsiTheme="majorBidi" w:cstheme="majorBidi"/>
          <w:color w:val="000000"/>
          <w:sz w:val="24"/>
          <w:szCs w:val="24"/>
        </w:rPr>
        <w:t xml:space="preserve"> </w:t>
      </w:r>
      <w:r w:rsidR="007D3589" w:rsidRPr="00F35592">
        <w:rPr>
          <w:rFonts w:asciiTheme="majorBidi" w:eastAsia="Times New Roman" w:hAnsiTheme="majorBidi" w:cstheme="majorBidi"/>
          <w:color w:val="000000"/>
          <w:sz w:val="24"/>
          <w:szCs w:val="24"/>
        </w:rPr>
        <w:t>The threat</w:t>
      </w:r>
      <w:r w:rsidR="0047688F">
        <w:rPr>
          <w:rFonts w:asciiTheme="majorBidi" w:eastAsia="Times New Roman" w:hAnsiTheme="majorBidi" w:cstheme="majorBidi"/>
          <w:color w:val="000000"/>
          <w:sz w:val="24"/>
          <w:szCs w:val="24"/>
        </w:rPr>
        <w:t>ened</w:t>
      </w:r>
      <w:r w:rsidR="007D3589" w:rsidRPr="00F35592">
        <w:rPr>
          <w:rFonts w:asciiTheme="majorBidi" w:eastAsia="Times New Roman" w:hAnsiTheme="majorBidi" w:cstheme="majorBidi"/>
          <w:color w:val="000000"/>
          <w:sz w:val="24"/>
          <w:szCs w:val="24"/>
        </w:rPr>
        <w:t xml:space="preserve"> </w:t>
      </w:r>
      <w:r w:rsidR="0047688F">
        <w:rPr>
          <w:rFonts w:asciiTheme="majorBidi" w:eastAsia="Times New Roman" w:hAnsiTheme="majorBidi" w:cstheme="majorBidi"/>
          <w:color w:val="000000"/>
          <w:sz w:val="24"/>
          <w:szCs w:val="24"/>
        </w:rPr>
        <w:t>revocation of</w:t>
      </w:r>
      <w:r w:rsidR="007D3589" w:rsidRPr="00F35592">
        <w:rPr>
          <w:rFonts w:asciiTheme="majorBidi" w:eastAsia="Times New Roman" w:hAnsiTheme="majorBidi" w:cstheme="majorBidi"/>
          <w:color w:val="000000"/>
          <w:sz w:val="24"/>
          <w:szCs w:val="24"/>
        </w:rPr>
        <w:t xml:space="preserve"> </w:t>
      </w:r>
      <w:r w:rsidRPr="00F35592">
        <w:rPr>
          <w:rFonts w:asciiTheme="majorBidi" w:eastAsia="Times New Roman" w:hAnsiTheme="majorBidi" w:cstheme="majorBidi"/>
          <w:color w:val="000000"/>
          <w:sz w:val="24"/>
          <w:szCs w:val="24"/>
        </w:rPr>
        <w:t xml:space="preserve">Barghouti’s residency comes </w:t>
      </w:r>
      <w:r w:rsidR="004E040D" w:rsidRPr="00F35592">
        <w:rPr>
          <w:rFonts w:asciiTheme="majorBidi" w:eastAsia="Times New Roman" w:hAnsiTheme="majorBidi" w:cstheme="majorBidi"/>
          <w:color w:val="000000"/>
          <w:sz w:val="24"/>
          <w:szCs w:val="24"/>
        </w:rPr>
        <w:t>during a time of</w:t>
      </w:r>
      <w:r w:rsidRPr="00F35592">
        <w:rPr>
          <w:rFonts w:asciiTheme="majorBidi" w:eastAsia="Times New Roman" w:hAnsiTheme="majorBidi" w:cstheme="majorBidi"/>
          <w:color w:val="000000"/>
          <w:sz w:val="24"/>
          <w:szCs w:val="24"/>
        </w:rPr>
        <w:t xml:space="preserve"> ongoing and systematic effort</w:t>
      </w:r>
      <w:r w:rsidR="00B32C8A" w:rsidRPr="00F35592">
        <w:rPr>
          <w:rFonts w:asciiTheme="majorBidi" w:eastAsia="Times New Roman" w:hAnsiTheme="majorBidi" w:cstheme="majorBidi"/>
          <w:color w:val="000000"/>
          <w:sz w:val="24"/>
          <w:szCs w:val="24"/>
        </w:rPr>
        <w:t>s</w:t>
      </w:r>
      <w:r w:rsidRPr="00F35592">
        <w:rPr>
          <w:rFonts w:asciiTheme="majorBidi" w:eastAsia="Times New Roman" w:hAnsiTheme="majorBidi" w:cstheme="majorBidi"/>
          <w:color w:val="000000"/>
          <w:sz w:val="24"/>
          <w:szCs w:val="24"/>
        </w:rPr>
        <w:t xml:space="preserve"> led by the Israeli </w:t>
      </w:r>
      <w:r w:rsidR="0047688F">
        <w:rPr>
          <w:rFonts w:asciiTheme="majorBidi" w:eastAsia="Times New Roman" w:hAnsiTheme="majorBidi" w:cstheme="majorBidi"/>
          <w:color w:val="000000"/>
          <w:sz w:val="24"/>
          <w:szCs w:val="24"/>
        </w:rPr>
        <w:t>G</w:t>
      </w:r>
      <w:r w:rsidRPr="00F35592">
        <w:rPr>
          <w:rFonts w:asciiTheme="majorBidi" w:eastAsia="Times New Roman" w:hAnsiTheme="majorBidi" w:cstheme="majorBidi"/>
          <w:color w:val="000000"/>
          <w:sz w:val="24"/>
          <w:szCs w:val="24"/>
        </w:rPr>
        <w:t xml:space="preserve">overnment to create a coercive environment designed to silence human rights defenders and activists promoting the rights of the </w:t>
      </w:r>
      <w:r w:rsidRPr="00F35592">
        <w:rPr>
          <w:rFonts w:asciiTheme="majorBidi" w:eastAsia="Times New Roman" w:hAnsiTheme="majorBidi" w:cstheme="majorBidi"/>
          <w:color w:val="000000"/>
          <w:sz w:val="24"/>
          <w:szCs w:val="24"/>
        </w:rPr>
        <w:lastRenderedPageBreak/>
        <w:t xml:space="preserve">Palestinian people and challenging Israel’s widespread </w:t>
      </w:r>
      <w:r w:rsidR="00B32C8A" w:rsidRPr="00F35592">
        <w:rPr>
          <w:rFonts w:asciiTheme="majorBidi" w:eastAsia="Times New Roman" w:hAnsiTheme="majorBidi" w:cstheme="majorBidi"/>
          <w:color w:val="000000"/>
          <w:sz w:val="24"/>
          <w:szCs w:val="24"/>
        </w:rPr>
        <w:t xml:space="preserve">and systematic </w:t>
      </w:r>
      <w:r w:rsidR="0047688F">
        <w:rPr>
          <w:rFonts w:asciiTheme="majorBidi" w:eastAsia="Times New Roman" w:hAnsiTheme="majorBidi" w:cstheme="majorBidi"/>
          <w:color w:val="000000"/>
          <w:sz w:val="24"/>
          <w:szCs w:val="24"/>
        </w:rPr>
        <w:t>human rights abuses</w:t>
      </w:r>
      <w:r w:rsidR="00B32C8A" w:rsidRPr="00F35592">
        <w:rPr>
          <w:rFonts w:asciiTheme="majorBidi" w:eastAsia="Times New Roman" w:hAnsiTheme="majorBidi" w:cstheme="majorBidi"/>
          <w:color w:val="000000"/>
          <w:sz w:val="24"/>
          <w:szCs w:val="24"/>
        </w:rPr>
        <w:t>, including</w:t>
      </w:r>
      <w:r w:rsidRPr="00F35592">
        <w:rPr>
          <w:rFonts w:asciiTheme="majorBidi" w:eastAsia="Times New Roman" w:hAnsiTheme="majorBidi" w:cstheme="majorBidi"/>
          <w:color w:val="000000"/>
          <w:sz w:val="24"/>
          <w:szCs w:val="24"/>
        </w:rPr>
        <w:t xml:space="preserve"> suspected crimes. It is within this </w:t>
      </w:r>
      <w:r w:rsidR="0047688F">
        <w:rPr>
          <w:rFonts w:asciiTheme="majorBidi" w:eastAsia="Times New Roman" w:hAnsiTheme="majorBidi" w:cstheme="majorBidi"/>
          <w:color w:val="000000"/>
          <w:sz w:val="24"/>
          <w:szCs w:val="24"/>
        </w:rPr>
        <w:t xml:space="preserve">repressive </w:t>
      </w:r>
      <w:r w:rsidRPr="00F35592">
        <w:rPr>
          <w:rFonts w:asciiTheme="majorBidi" w:eastAsia="Times New Roman" w:hAnsiTheme="majorBidi" w:cstheme="majorBidi"/>
          <w:color w:val="000000"/>
          <w:sz w:val="24"/>
          <w:szCs w:val="24"/>
        </w:rPr>
        <w:t>context that the Israeli authorities have increasingly resorted to smear and de-legitimisation campaigns against human rights defenders, activists, and civil society organisations advocating for the rights of Palestinians and calling for justice and accountability.</w:t>
      </w:r>
      <w:r w:rsidR="0047688F">
        <w:rPr>
          <w:rFonts w:asciiTheme="majorBidi" w:eastAsia="Times New Roman" w:hAnsiTheme="majorBidi" w:cstheme="majorBidi"/>
          <w:color w:val="000000"/>
          <w:sz w:val="24"/>
          <w:szCs w:val="24"/>
        </w:rPr>
        <w:t xml:space="preserve"> </w:t>
      </w:r>
    </w:p>
    <w:p w14:paraId="50678203" w14:textId="6B9270FD" w:rsidR="00731447" w:rsidRPr="00F35592" w:rsidRDefault="00AA735D" w:rsidP="0047251A">
      <w:pPr>
        <w:spacing w:before="200" w:after="200" w:line="269" w:lineRule="auto"/>
        <w:jc w:val="both"/>
        <w:rPr>
          <w:rFonts w:asciiTheme="majorBidi" w:eastAsia="Times New Roman" w:hAnsiTheme="majorBidi" w:cstheme="majorBidi"/>
          <w:sz w:val="24"/>
          <w:szCs w:val="24"/>
        </w:rPr>
      </w:pPr>
      <w:r w:rsidRPr="00F35592">
        <w:rPr>
          <w:rFonts w:asciiTheme="majorBidi" w:eastAsia="Times New Roman" w:hAnsiTheme="majorBidi" w:cstheme="majorBidi"/>
          <w:sz w:val="24"/>
          <w:szCs w:val="24"/>
        </w:rPr>
        <w:t>In addition, Israel’s practice of punitive residency revocation on the basis of so-called ‘breach of allegiance’ to the State</w:t>
      </w:r>
      <w:r w:rsidR="00B32C8A" w:rsidRPr="00F35592">
        <w:rPr>
          <w:rFonts w:asciiTheme="majorBidi" w:eastAsia="Times New Roman" w:hAnsiTheme="majorBidi" w:cstheme="majorBidi"/>
          <w:sz w:val="24"/>
          <w:szCs w:val="24"/>
        </w:rPr>
        <w:t xml:space="preserve"> of Israel</w:t>
      </w:r>
      <w:r w:rsidRPr="00F35592">
        <w:rPr>
          <w:rFonts w:asciiTheme="majorBidi" w:eastAsia="Times New Roman" w:hAnsiTheme="majorBidi" w:cstheme="majorBidi"/>
          <w:sz w:val="24"/>
          <w:szCs w:val="24"/>
        </w:rPr>
        <w:t>,</w:t>
      </w:r>
      <w:r w:rsidRPr="00F35592">
        <w:rPr>
          <w:rFonts w:asciiTheme="majorBidi" w:eastAsia="Times New Roman" w:hAnsiTheme="majorBidi" w:cstheme="majorBidi"/>
          <w:sz w:val="24"/>
          <w:szCs w:val="24"/>
          <w:vertAlign w:val="superscript"/>
        </w:rPr>
        <w:footnoteReference w:id="5"/>
      </w:r>
      <w:r w:rsidRPr="00F35592">
        <w:rPr>
          <w:rFonts w:asciiTheme="majorBidi" w:eastAsia="Times New Roman" w:hAnsiTheme="majorBidi" w:cstheme="majorBidi"/>
          <w:sz w:val="24"/>
          <w:szCs w:val="24"/>
        </w:rPr>
        <w:t xml:space="preserve"> has been used as a tool to suppress Palestinians’ activism and to restrict their right to freedom of expression when challenging Israel’s systematic violations of international law. On 17 October 2017, in response to a request based on the Freedom of Information Act, </w:t>
      </w:r>
      <w:r w:rsidR="00BD00F3" w:rsidRPr="00F35592">
        <w:rPr>
          <w:rFonts w:asciiTheme="majorBidi" w:eastAsia="Times New Roman" w:hAnsiTheme="majorBidi" w:cstheme="majorBidi"/>
          <w:sz w:val="24"/>
          <w:szCs w:val="24"/>
        </w:rPr>
        <w:t>Israel’s</w:t>
      </w:r>
      <w:r w:rsidRPr="00F35592">
        <w:rPr>
          <w:rFonts w:asciiTheme="majorBidi" w:eastAsia="Times New Roman" w:hAnsiTheme="majorBidi" w:cstheme="majorBidi"/>
          <w:sz w:val="24"/>
          <w:szCs w:val="24"/>
        </w:rPr>
        <w:t xml:space="preserve"> Interior Ministry acknowledged </w:t>
      </w:r>
      <w:r w:rsidR="00B32C8A" w:rsidRPr="00F35592">
        <w:rPr>
          <w:rFonts w:asciiTheme="majorBidi" w:eastAsia="Times New Roman" w:hAnsiTheme="majorBidi" w:cstheme="majorBidi"/>
          <w:sz w:val="24"/>
          <w:szCs w:val="24"/>
        </w:rPr>
        <w:t xml:space="preserve">that it had, </w:t>
      </w:r>
      <w:r w:rsidR="00BD00F3" w:rsidRPr="00F35592">
        <w:rPr>
          <w:rFonts w:asciiTheme="majorBidi" w:eastAsia="Times New Roman" w:hAnsiTheme="majorBidi" w:cstheme="majorBidi"/>
          <w:sz w:val="24"/>
          <w:szCs w:val="24"/>
        </w:rPr>
        <w:t>at that time</w:t>
      </w:r>
      <w:r w:rsidR="00B32C8A" w:rsidRPr="00F35592">
        <w:rPr>
          <w:rFonts w:asciiTheme="majorBidi" w:eastAsia="Times New Roman" w:hAnsiTheme="majorBidi" w:cstheme="majorBidi"/>
          <w:sz w:val="24"/>
          <w:szCs w:val="24"/>
        </w:rPr>
        <w:t>,</w:t>
      </w:r>
      <w:r w:rsidRPr="00F35592">
        <w:rPr>
          <w:rFonts w:asciiTheme="majorBidi" w:eastAsia="Times New Roman" w:hAnsiTheme="majorBidi" w:cstheme="majorBidi"/>
          <w:sz w:val="24"/>
          <w:szCs w:val="24"/>
        </w:rPr>
        <w:t xml:space="preserve"> revoked the residency status of 13 Palestinians on the basis of ‘breach of allegiance’ to Israel.</w:t>
      </w:r>
      <w:r w:rsidRPr="00F35592">
        <w:rPr>
          <w:rFonts w:asciiTheme="majorBidi" w:eastAsia="Times New Roman" w:hAnsiTheme="majorBidi" w:cstheme="majorBidi"/>
          <w:sz w:val="24"/>
          <w:szCs w:val="24"/>
          <w:vertAlign w:val="superscript"/>
        </w:rPr>
        <w:footnoteReference w:id="6"/>
      </w:r>
      <w:r w:rsidRPr="00F35592">
        <w:rPr>
          <w:rFonts w:asciiTheme="majorBidi" w:eastAsia="Times New Roman" w:hAnsiTheme="majorBidi" w:cstheme="majorBidi"/>
          <w:sz w:val="24"/>
          <w:szCs w:val="24"/>
        </w:rPr>
        <w:t xml:space="preserve"> </w:t>
      </w:r>
      <w:r w:rsidR="00B32C8A" w:rsidRPr="00F35592">
        <w:rPr>
          <w:rFonts w:asciiTheme="majorBidi" w:eastAsia="Times New Roman" w:hAnsiTheme="majorBidi" w:cstheme="majorBidi"/>
          <w:sz w:val="24"/>
          <w:szCs w:val="24"/>
        </w:rPr>
        <w:t>Using</w:t>
      </w:r>
      <w:r w:rsidRPr="00F35592">
        <w:rPr>
          <w:rFonts w:asciiTheme="majorBidi" w:eastAsia="Times New Roman" w:hAnsiTheme="majorBidi" w:cstheme="majorBidi"/>
          <w:sz w:val="24"/>
          <w:szCs w:val="24"/>
        </w:rPr>
        <w:t xml:space="preserve"> overbroad </w:t>
      </w:r>
      <w:r w:rsidR="00B32C8A" w:rsidRPr="00F35592">
        <w:rPr>
          <w:rFonts w:asciiTheme="majorBidi" w:eastAsia="Times New Roman" w:hAnsiTheme="majorBidi" w:cstheme="majorBidi"/>
          <w:sz w:val="24"/>
          <w:szCs w:val="24"/>
        </w:rPr>
        <w:t>and vague criteria, the Ministry of Interior may</w:t>
      </w:r>
      <w:r w:rsidRPr="00F35592">
        <w:rPr>
          <w:rFonts w:asciiTheme="majorBidi" w:eastAsia="Times New Roman" w:hAnsiTheme="majorBidi" w:cstheme="majorBidi"/>
          <w:sz w:val="24"/>
          <w:szCs w:val="24"/>
        </w:rPr>
        <w:t xml:space="preserve"> widely </w:t>
      </w:r>
      <w:r w:rsidR="00B32C8A" w:rsidRPr="00F35592">
        <w:rPr>
          <w:rFonts w:asciiTheme="majorBidi" w:eastAsia="Times New Roman" w:hAnsiTheme="majorBidi" w:cstheme="majorBidi"/>
          <w:sz w:val="24"/>
          <w:szCs w:val="24"/>
        </w:rPr>
        <w:t>interpret ‘breach of allegiance’</w:t>
      </w:r>
      <w:r w:rsidRPr="00F35592">
        <w:rPr>
          <w:rFonts w:asciiTheme="majorBidi" w:eastAsia="Times New Roman" w:hAnsiTheme="majorBidi" w:cstheme="majorBidi"/>
          <w:sz w:val="24"/>
          <w:szCs w:val="24"/>
        </w:rPr>
        <w:t xml:space="preserve"> </w:t>
      </w:r>
      <w:r w:rsidR="00B32C8A" w:rsidRPr="00F35592">
        <w:rPr>
          <w:rFonts w:asciiTheme="majorBidi" w:eastAsia="Times New Roman" w:hAnsiTheme="majorBidi" w:cstheme="majorBidi"/>
          <w:sz w:val="24"/>
          <w:szCs w:val="24"/>
        </w:rPr>
        <w:t>as encompassing</w:t>
      </w:r>
      <w:r w:rsidRPr="00F35592">
        <w:rPr>
          <w:rFonts w:asciiTheme="majorBidi" w:eastAsia="Times New Roman" w:hAnsiTheme="majorBidi" w:cstheme="majorBidi"/>
          <w:sz w:val="24"/>
          <w:szCs w:val="24"/>
        </w:rPr>
        <w:t xml:space="preserve"> </w:t>
      </w:r>
      <w:r w:rsidR="00B32C8A" w:rsidRPr="00F35592">
        <w:rPr>
          <w:rFonts w:asciiTheme="majorBidi" w:eastAsia="Times New Roman" w:hAnsiTheme="majorBidi" w:cstheme="majorBidi"/>
          <w:sz w:val="24"/>
          <w:szCs w:val="24"/>
        </w:rPr>
        <w:t>the right of Palestinians to freedom of expression, including the right to voice</w:t>
      </w:r>
      <w:r w:rsidRPr="00F35592">
        <w:rPr>
          <w:rFonts w:asciiTheme="majorBidi" w:eastAsia="Times New Roman" w:hAnsiTheme="majorBidi" w:cstheme="majorBidi"/>
          <w:sz w:val="24"/>
          <w:szCs w:val="24"/>
        </w:rPr>
        <w:t xml:space="preserve"> opposition to Israeli </w:t>
      </w:r>
      <w:r w:rsidR="00B32C8A" w:rsidRPr="00F35592">
        <w:rPr>
          <w:rFonts w:asciiTheme="majorBidi" w:eastAsia="Times New Roman" w:hAnsiTheme="majorBidi" w:cstheme="majorBidi"/>
          <w:sz w:val="24"/>
          <w:szCs w:val="24"/>
        </w:rPr>
        <w:t>policies and practices</w:t>
      </w:r>
      <w:r w:rsidRPr="00F35592">
        <w:rPr>
          <w:rFonts w:asciiTheme="majorBidi" w:eastAsia="Times New Roman" w:hAnsiTheme="majorBidi" w:cstheme="majorBidi"/>
          <w:sz w:val="24"/>
          <w:szCs w:val="24"/>
        </w:rPr>
        <w:t>.</w:t>
      </w:r>
      <w:r w:rsidRPr="00F35592">
        <w:rPr>
          <w:rFonts w:asciiTheme="majorBidi" w:eastAsia="Times New Roman" w:hAnsiTheme="majorBidi" w:cstheme="majorBidi"/>
          <w:sz w:val="24"/>
          <w:szCs w:val="24"/>
          <w:vertAlign w:val="superscript"/>
        </w:rPr>
        <w:footnoteReference w:id="7"/>
      </w:r>
      <w:r w:rsidRPr="00F35592">
        <w:rPr>
          <w:rFonts w:asciiTheme="majorBidi" w:eastAsia="Times New Roman" w:hAnsiTheme="majorBidi" w:cstheme="majorBidi"/>
          <w:sz w:val="24"/>
          <w:szCs w:val="24"/>
        </w:rPr>
        <w:t xml:space="preserve"> Israel’s policy of silencing opposition through threatened deportations and punitive residency revocation stands in clear violation of international human rights standards and treaties, which Israel is bound to respect, protect, and fulfil towards the Palestinian people</w:t>
      </w:r>
      <w:r w:rsidR="00B32C8A" w:rsidRPr="00F35592">
        <w:rPr>
          <w:rFonts w:asciiTheme="majorBidi" w:eastAsia="Times New Roman" w:hAnsiTheme="majorBidi" w:cstheme="majorBidi"/>
          <w:sz w:val="24"/>
          <w:szCs w:val="24"/>
        </w:rPr>
        <w:t xml:space="preserve"> on both sides of the Green Line</w:t>
      </w:r>
      <w:r w:rsidRPr="00F35592">
        <w:rPr>
          <w:rFonts w:asciiTheme="majorBidi" w:eastAsia="Times New Roman" w:hAnsiTheme="majorBidi" w:cstheme="majorBidi"/>
          <w:sz w:val="24"/>
          <w:szCs w:val="24"/>
        </w:rPr>
        <w:t>.</w:t>
      </w:r>
    </w:p>
    <w:p w14:paraId="2DF39CCF" w14:textId="77777777" w:rsidR="00731447" w:rsidRPr="00F35592" w:rsidRDefault="00AA735D" w:rsidP="0047251A">
      <w:pPr>
        <w:numPr>
          <w:ilvl w:val="0"/>
          <w:numId w:val="1"/>
        </w:numPr>
        <w:pBdr>
          <w:top w:val="nil"/>
          <w:left w:val="nil"/>
          <w:bottom w:val="nil"/>
          <w:right w:val="nil"/>
          <w:between w:val="nil"/>
        </w:pBdr>
        <w:tabs>
          <w:tab w:val="left" w:pos="630"/>
        </w:tabs>
        <w:spacing w:before="200" w:after="200" w:line="269" w:lineRule="auto"/>
        <w:ind w:left="426" w:right="4" w:hanging="426"/>
        <w:rPr>
          <w:rFonts w:asciiTheme="majorBidi" w:eastAsia="Times New Roman" w:hAnsiTheme="majorBidi" w:cstheme="majorBidi"/>
          <w:b/>
          <w:color w:val="000000"/>
          <w:sz w:val="24"/>
          <w:szCs w:val="24"/>
        </w:rPr>
      </w:pPr>
      <w:r w:rsidRPr="00F35592">
        <w:rPr>
          <w:rFonts w:asciiTheme="majorBidi" w:eastAsia="Times New Roman" w:hAnsiTheme="majorBidi" w:cstheme="majorBidi"/>
          <w:b/>
          <w:color w:val="000000"/>
          <w:sz w:val="24"/>
          <w:szCs w:val="24"/>
        </w:rPr>
        <w:t>Punitive residency revocation for ‘breach of allegiance’</w:t>
      </w:r>
    </w:p>
    <w:p w14:paraId="75D3845E" w14:textId="78AA4267" w:rsidR="00731447" w:rsidRPr="00F35592" w:rsidRDefault="00AA735D" w:rsidP="0047251A">
      <w:pPr>
        <w:pBdr>
          <w:top w:val="nil"/>
          <w:left w:val="nil"/>
          <w:bottom w:val="nil"/>
          <w:right w:val="nil"/>
          <w:between w:val="nil"/>
        </w:pBdr>
        <w:spacing w:before="200" w:after="200" w:line="269" w:lineRule="auto"/>
        <w:jc w:val="both"/>
        <w:rPr>
          <w:rFonts w:asciiTheme="majorBidi" w:eastAsia="Times New Roman" w:hAnsiTheme="majorBidi" w:cstheme="majorBidi"/>
          <w:sz w:val="24"/>
          <w:szCs w:val="24"/>
        </w:rPr>
      </w:pPr>
      <w:r w:rsidRPr="00F35592">
        <w:rPr>
          <w:rFonts w:asciiTheme="majorBidi" w:eastAsia="Times New Roman" w:hAnsiTheme="majorBidi" w:cstheme="majorBidi"/>
          <w:color w:val="000000"/>
          <w:sz w:val="24"/>
          <w:szCs w:val="24"/>
        </w:rPr>
        <w:t>Barghouti is not the first Palestinian to have been threatened with punitive residency revocation on the basis of ‘breach of allegiance’ by the Israeli authorities, despite the illegality of the practice. Following a request sent to the Ministry of Interior based on the Freedom of Information Act, the Interior</w:t>
      </w:r>
      <w:r w:rsidR="00B32C8A" w:rsidRPr="00F35592">
        <w:rPr>
          <w:rFonts w:asciiTheme="majorBidi" w:eastAsia="Times New Roman" w:hAnsiTheme="majorBidi" w:cstheme="majorBidi"/>
          <w:color w:val="000000"/>
          <w:sz w:val="24"/>
          <w:szCs w:val="24"/>
        </w:rPr>
        <w:t xml:space="preserve"> Ministry acknowledged on 17 October </w:t>
      </w:r>
      <w:r w:rsidRPr="00F35592">
        <w:rPr>
          <w:rFonts w:asciiTheme="majorBidi" w:eastAsia="Times New Roman" w:hAnsiTheme="majorBidi" w:cstheme="majorBidi"/>
          <w:color w:val="000000"/>
          <w:sz w:val="24"/>
          <w:szCs w:val="24"/>
        </w:rPr>
        <w:t xml:space="preserve">2017 that it had revoked the residency status of </w:t>
      </w:r>
      <w:r w:rsidRPr="00E20C59">
        <w:rPr>
          <w:rFonts w:asciiTheme="majorBidi" w:eastAsia="Times New Roman" w:hAnsiTheme="majorBidi" w:cstheme="majorBidi"/>
          <w:color w:val="000000"/>
          <w:sz w:val="24"/>
          <w:szCs w:val="24"/>
        </w:rPr>
        <w:t>13 Palestinians</w:t>
      </w:r>
      <w:r w:rsidRPr="00F35592">
        <w:rPr>
          <w:rFonts w:asciiTheme="majorBidi" w:eastAsia="Times New Roman" w:hAnsiTheme="majorBidi" w:cstheme="majorBidi"/>
          <w:color w:val="000000"/>
          <w:sz w:val="24"/>
          <w:szCs w:val="24"/>
        </w:rPr>
        <w:t xml:space="preserve"> on the basis of ‘breach of allegiance’</w:t>
      </w:r>
      <w:r w:rsidR="008E7D6B" w:rsidRPr="00F35592">
        <w:rPr>
          <w:rFonts w:asciiTheme="majorBidi" w:eastAsia="Times New Roman" w:hAnsiTheme="majorBidi" w:cstheme="majorBidi"/>
          <w:color w:val="000000"/>
          <w:sz w:val="24"/>
          <w:szCs w:val="24"/>
        </w:rPr>
        <w:t xml:space="preserve"> </w:t>
      </w:r>
      <w:r w:rsidRPr="00F35592">
        <w:rPr>
          <w:rFonts w:asciiTheme="majorBidi" w:eastAsia="Times New Roman" w:hAnsiTheme="majorBidi" w:cstheme="majorBidi"/>
          <w:sz w:val="24"/>
          <w:szCs w:val="24"/>
        </w:rPr>
        <w:t>(</w:t>
      </w:r>
      <w:r w:rsidRPr="00F35592">
        <w:rPr>
          <w:rFonts w:asciiTheme="majorBidi" w:eastAsia="Times New Roman" w:hAnsiTheme="majorBidi" w:cstheme="majorBidi"/>
          <w:i/>
          <w:sz w:val="24"/>
          <w:szCs w:val="24"/>
        </w:rPr>
        <w:t xml:space="preserve">see </w:t>
      </w:r>
      <w:r w:rsidRPr="00F35592">
        <w:rPr>
          <w:rFonts w:asciiTheme="majorBidi" w:eastAsia="Times New Roman" w:hAnsiTheme="majorBidi" w:cstheme="majorBidi"/>
          <w:b/>
          <w:sz w:val="24"/>
          <w:szCs w:val="24"/>
        </w:rPr>
        <w:t>Annex 2</w:t>
      </w:r>
      <w:r w:rsidRPr="00F35592">
        <w:rPr>
          <w:rFonts w:asciiTheme="majorBidi" w:eastAsia="Times New Roman" w:hAnsiTheme="majorBidi" w:cstheme="majorBidi"/>
          <w:sz w:val="24"/>
          <w:szCs w:val="24"/>
        </w:rPr>
        <w:t>)</w:t>
      </w:r>
      <w:r w:rsidR="003A4806">
        <w:rPr>
          <w:rFonts w:asciiTheme="majorBidi" w:eastAsia="Times New Roman" w:hAnsiTheme="majorBidi" w:cstheme="majorBidi"/>
          <w:sz w:val="24"/>
          <w:szCs w:val="24"/>
        </w:rPr>
        <w:t>, in violation of international law and with no basis in Israeli law itself</w:t>
      </w:r>
      <w:r w:rsidRPr="00F35592">
        <w:rPr>
          <w:rFonts w:asciiTheme="majorBidi" w:eastAsia="Times New Roman" w:hAnsiTheme="majorBidi" w:cstheme="majorBidi"/>
          <w:color w:val="000000"/>
          <w:sz w:val="24"/>
          <w:szCs w:val="24"/>
        </w:rPr>
        <w:t xml:space="preserve">. Since </w:t>
      </w:r>
      <w:r w:rsidR="00B32C8A" w:rsidRPr="00F35592">
        <w:rPr>
          <w:rFonts w:asciiTheme="majorBidi" w:eastAsia="Times New Roman" w:hAnsiTheme="majorBidi" w:cstheme="majorBidi"/>
          <w:sz w:val="24"/>
          <w:szCs w:val="24"/>
        </w:rPr>
        <w:t>then</w:t>
      </w:r>
      <w:r w:rsidRPr="00F35592">
        <w:rPr>
          <w:rFonts w:asciiTheme="majorBidi" w:eastAsia="Times New Roman" w:hAnsiTheme="majorBidi" w:cstheme="majorBidi"/>
          <w:sz w:val="24"/>
          <w:szCs w:val="24"/>
        </w:rPr>
        <w:t xml:space="preserve">, it is unclear how many Palestinians have had their residency status punitively revoked on the </w:t>
      </w:r>
      <w:r w:rsidR="00B32C8A" w:rsidRPr="00F35592">
        <w:rPr>
          <w:rFonts w:asciiTheme="majorBidi" w:eastAsia="Times New Roman" w:hAnsiTheme="majorBidi" w:cstheme="majorBidi"/>
          <w:sz w:val="24"/>
          <w:szCs w:val="24"/>
        </w:rPr>
        <w:t xml:space="preserve">same </w:t>
      </w:r>
      <w:r w:rsidR="003A4806">
        <w:rPr>
          <w:rFonts w:asciiTheme="majorBidi" w:eastAsia="Times New Roman" w:hAnsiTheme="majorBidi" w:cstheme="majorBidi"/>
          <w:sz w:val="24"/>
          <w:szCs w:val="24"/>
        </w:rPr>
        <w:t>ground</w:t>
      </w:r>
      <w:r w:rsidRPr="00F35592">
        <w:rPr>
          <w:rFonts w:asciiTheme="majorBidi" w:eastAsia="Times New Roman" w:hAnsiTheme="majorBidi" w:cstheme="majorBidi"/>
          <w:sz w:val="24"/>
          <w:szCs w:val="24"/>
        </w:rPr>
        <w:t xml:space="preserve">. Seven </w:t>
      </w:r>
      <w:r w:rsidR="0008199C" w:rsidRPr="00F35592">
        <w:rPr>
          <w:rFonts w:asciiTheme="majorBidi" w:eastAsia="Times New Roman" w:hAnsiTheme="majorBidi" w:cstheme="majorBidi"/>
          <w:sz w:val="24"/>
          <w:szCs w:val="24"/>
        </w:rPr>
        <w:t xml:space="preserve">of the </w:t>
      </w:r>
      <w:r w:rsidR="00370629" w:rsidRPr="00F35592">
        <w:rPr>
          <w:rFonts w:asciiTheme="majorBidi" w:eastAsia="Times New Roman" w:hAnsiTheme="majorBidi" w:cstheme="majorBidi"/>
          <w:sz w:val="24"/>
          <w:szCs w:val="24"/>
        </w:rPr>
        <w:t xml:space="preserve">thirteen </w:t>
      </w:r>
      <w:r w:rsidRPr="00F35592">
        <w:rPr>
          <w:rFonts w:asciiTheme="majorBidi" w:eastAsia="Times New Roman" w:hAnsiTheme="majorBidi" w:cstheme="majorBidi"/>
          <w:sz w:val="24"/>
          <w:szCs w:val="24"/>
        </w:rPr>
        <w:t xml:space="preserve">cases mentioned </w:t>
      </w:r>
      <w:r w:rsidR="00B32C8A" w:rsidRPr="00F35592">
        <w:rPr>
          <w:rFonts w:asciiTheme="majorBidi" w:eastAsia="Times New Roman" w:hAnsiTheme="majorBidi" w:cstheme="majorBidi"/>
          <w:sz w:val="24"/>
          <w:szCs w:val="24"/>
        </w:rPr>
        <w:t>in the</w:t>
      </w:r>
      <w:r w:rsidRPr="00F35592">
        <w:rPr>
          <w:rFonts w:asciiTheme="majorBidi" w:eastAsia="Times New Roman" w:hAnsiTheme="majorBidi" w:cstheme="majorBidi"/>
          <w:sz w:val="24"/>
          <w:szCs w:val="24"/>
        </w:rPr>
        <w:t xml:space="preserve"> response</w:t>
      </w:r>
      <w:r w:rsidR="00B32C8A" w:rsidRPr="00F35592">
        <w:rPr>
          <w:rFonts w:asciiTheme="majorBidi" w:eastAsia="Times New Roman" w:hAnsiTheme="majorBidi" w:cstheme="majorBidi"/>
          <w:sz w:val="24"/>
          <w:szCs w:val="24"/>
        </w:rPr>
        <w:t xml:space="preserve"> of the Ministry of Interior</w:t>
      </w:r>
      <w:r w:rsidRPr="00F35592">
        <w:rPr>
          <w:rFonts w:asciiTheme="majorBidi" w:eastAsia="Times New Roman" w:hAnsiTheme="majorBidi" w:cstheme="majorBidi"/>
          <w:sz w:val="24"/>
          <w:szCs w:val="24"/>
        </w:rPr>
        <w:t xml:space="preserve"> are discussed below.</w:t>
      </w:r>
    </w:p>
    <w:p w14:paraId="4E89FBD0" w14:textId="74ADFF9E" w:rsidR="00731447" w:rsidRPr="00F35592" w:rsidRDefault="00AA735D" w:rsidP="0047251A">
      <w:pPr>
        <w:pBdr>
          <w:top w:val="nil"/>
          <w:left w:val="nil"/>
          <w:bottom w:val="nil"/>
          <w:right w:val="nil"/>
          <w:between w:val="nil"/>
        </w:pBdr>
        <w:spacing w:before="200" w:after="200" w:line="269" w:lineRule="auto"/>
        <w:jc w:val="both"/>
        <w:rPr>
          <w:rFonts w:asciiTheme="majorBidi" w:eastAsia="Times New Roman" w:hAnsiTheme="majorBidi" w:cstheme="majorBidi"/>
          <w:color w:val="000000"/>
          <w:sz w:val="24"/>
          <w:szCs w:val="24"/>
        </w:rPr>
      </w:pPr>
      <w:r w:rsidRPr="00F35592">
        <w:rPr>
          <w:rFonts w:asciiTheme="majorBidi" w:eastAsia="Times New Roman" w:hAnsiTheme="majorBidi" w:cstheme="majorBidi"/>
          <w:color w:val="000000"/>
          <w:sz w:val="24"/>
          <w:szCs w:val="24"/>
        </w:rPr>
        <w:t xml:space="preserve">The first punitive residency revocation carried out by the Israeli </w:t>
      </w:r>
      <w:r w:rsidR="00332F01">
        <w:rPr>
          <w:rFonts w:asciiTheme="majorBidi" w:eastAsia="Times New Roman" w:hAnsiTheme="majorBidi" w:cstheme="majorBidi"/>
          <w:color w:val="000000"/>
          <w:sz w:val="24"/>
          <w:szCs w:val="24"/>
        </w:rPr>
        <w:t xml:space="preserve">authorities </w:t>
      </w:r>
      <w:r w:rsidRPr="00F35592">
        <w:rPr>
          <w:rFonts w:asciiTheme="majorBidi" w:eastAsia="Times New Roman" w:hAnsiTheme="majorBidi" w:cstheme="majorBidi"/>
          <w:color w:val="000000"/>
          <w:sz w:val="24"/>
          <w:szCs w:val="24"/>
        </w:rPr>
        <w:t>dates back to June 2006, when the Minister of Interior revoked the residency status of three elected members of the Palestinian Legislative Council</w:t>
      </w:r>
      <w:r w:rsidR="001C7DBA" w:rsidRPr="00F35592">
        <w:rPr>
          <w:rFonts w:asciiTheme="majorBidi" w:eastAsia="Times New Roman" w:hAnsiTheme="majorBidi" w:cstheme="majorBidi"/>
          <w:color w:val="000000"/>
          <w:sz w:val="24"/>
          <w:szCs w:val="24"/>
        </w:rPr>
        <w:t xml:space="preserve"> (PLC)</w:t>
      </w:r>
      <w:r w:rsidR="00473519" w:rsidRPr="00F35592">
        <w:rPr>
          <w:rFonts w:asciiTheme="majorBidi" w:eastAsia="Times New Roman" w:hAnsiTheme="majorBidi" w:cstheme="majorBidi"/>
          <w:color w:val="000000"/>
          <w:sz w:val="24"/>
          <w:szCs w:val="24"/>
        </w:rPr>
        <w:t>,</w:t>
      </w:r>
      <w:r w:rsidRPr="00F35592">
        <w:rPr>
          <w:rFonts w:asciiTheme="majorBidi" w:eastAsia="Times New Roman" w:hAnsiTheme="majorBidi" w:cstheme="majorBidi"/>
          <w:color w:val="000000"/>
          <w:sz w:val="24"/>
          <w:szCs w:val="24"/>
        </w:rPr>
        <w:t xml:space="preserve"> in addition to the former Palestinian Minister of Jerusalem, claiming they had ‘breached allegiance’ to Israel. </w:t>
      </w:r>
      <w:r w:rsidR="00370629" w:rsidRPr="00F35592">
        <w:rPr>
          <w:rFonts w:asciiTheme="majorBidi" w:hAnsiTheme="majorBidi" w:cstheme="majorBidi"/>
          <w:sz w:val="24"/>
          <w:szCs w:val="24"/>
        </w:rPr>
        <w:t>The parliamentarians filed a petition (</w:t>
      </w:r>
      <w:r w:rsidR="00370629" w:rsidRPr="00F35592">
        <w:rPr>
          <w:rFonts w:asciiTheme="majorBidi" w:eastAsia="Times New Roman" w:hAnsiTheme="majorBidi" w:cstheme="majorBidi"/>
          <w:color w:val="000000"/>
          <w:sz w:val="24"/>
          <w:szCs w:val="24"/>
        </w:rPr>
        <w:t xml:space="preserve">HCJ 7803/06, </w:t>
      </w:r>
      <w:r w:rsidR="00370629" w:rsidRPr="00F35592">
        <w:rPr>
          <w:rFonts w:asciiTheme="majorBidi" w:eastAsia="Times New Roman" w:hAnsiTheme="majorBidi" w:cstheme="majorBidi"/>
          <w:i/>
          <w:iCs/>
          <w:color w:val="000000"/>
          <w:sz w:val="24"/>
          <w:szCs w:val="24"/>
        </w:rPr>
        <w:t>Abu Arafeh et al.</w:t>
      </w:r>
      <w:r w:rsidR="00370629" w:rsidRPr="00F35592">
        <w:rPr>
          <w:rFonts w:asciiTheme="majorBidi" w:eastAsia="Times New Roman" w:hAnsiTheme="majorBidi" w:cstheme="majorBidi"/>
          <w:color w:val="000000"/>
          <w:sz w:val="24"/>
          <w:szCs w:val="24"/>
        </w:rPr>
        <w:t xml:space="preserve">) </w:t>
      </w:r>
      <w:r w:rsidR="00370629" w:rsidRPr="00F35592">
        <w:rPr>
          <w:rFonts w:asciiTheme="majorBidi" w:hAnsiTheme="majorBidi" w:cstheme="majorBidi"/>
          <w:sz w:val="24"/>
          <w:szCs w:val="24"/>
        </w:rPr>
        <w:t>with the Israeli Supreme Court challenging</w:t>
      </w:r>
      <w:r w:rsidR="00370629" w:rsidRPr="00F35592">
        <w:rPr>
          <w:rFonts w:asciiTheme="majorBidi" w:eastAsia="Times New Roman" w:hAnsiTheme="majorBidi" w:cstheme="majorBidi"/>
          <w:color w:val="000000"/>
          <w:sz w:val="24"/>
          <w:szCs w:val="24"/>
        </w:rPr>
        <w:t xml:space="preserve"> </w:t>
      </w:r>
      <w:r w:rsidRPr="00F35592">
        <w:rPr>
          <w:rFonts w:asciiTheme="majorBidi" w:eastAsia="Times New Roman" w:hAnsiTheme="majorBidi" w:cstheme="majorBidi"/>
          <w:color w:val="000000"/>
          <w:sz w:val="24"/>
          <w:szCs w:val="24"/>
        </w:rPr>
        <w:t xml:space="preserve">the authority of the Minister of Interior to revoke </w:t>
      </w:r>
      <w:r w:rsidR="001C7DBA" w:rsidRPr="00F35592">
        <w:rPr>
          <w:rFonts w:asciiTheme="majorBidi" w:eastAsia="Times New Roman" w:hAnsiTheme="majorBidi" w:cstheme="majorBidi"/>
          <w:color w:val="000000"/>
          <w:sz w:val="24"/>
          <w:szCs w:val="24"/>
        </w:rPr>
        <w:t xml:space="preserve">the </w:t>
      </w:r>
      <w:r w:rsidRPr="00F35592">
        <w:rPr>
          <w:rFonts w:asciiTheme="majorBidi" w:eastAsia="Times New Roman" w:hAnsiTheme="majorBidi" w:cstheme="majorBidi"/>
          <w:color w:val="000000"/>
          <w:sz w:val="24"/>
          <w:szCs w:val="24"/>
        </w:rPr>
        <w:t xml:space="preserve">permanent residency status </w:t>
      </w:r>
      <w:r w:rsidR="00F427E1">
        <w:rPr>
          <w:rFonts w:asciiTheme="majorBidi" w:eastAsia="Times New Roman" w:hAnsiTheme="majorBidi" w:cstheme="majorBidi"/>
          <w:color w:val="000000"/>
          <w:sz w:val="24"/>
          <w:szCs w:val="24"/>
        </w:rPr>
        <w:t>o</w:t>
      </w:r>
      <w:r w:rsidR="001C7DBA" w:rsidRPr="00F35592">
        <w:rPr>
          <w:rFonts w:asciiTheme="majorBidi" w:eastAsia="Times New Roman" w:hAnsiTheme="majorBidi" w:cstheme="majorBidi"/>
          <w:color w:val="000000"/>
          <w:sz w:val="24"/>
          <w:szCs w:val="24"/>
        </w:rPr>
        <w:t>f Palestinians</w:t>
      </w:r>
      <w:r w:rsidRPr="00F35592">
        <w:rPr>
          <w:rFonts w:asciiTheme="majorBidi" w:eastAsia="Times New Roman" w:hAnsiTheme="majorBidi" w:cstheme="majorBidi"/>
          <w:color w:val="000000"/>
          <w:sz w:val="24"/>
          <w:szCs w:val="24"/>
        </w:rPr>
        <w:t xml:space="preserve">. While the case </w:t>
      </w:r>
      <w:r w:rsidR="001C7DBA" w:rsidRPr="00F35592">
        <w:rPr>
          <w:rFonts w:asciiTheme="majorBidi" w:eastAsia="Times New Roman" w:hAnsiTheme="majorBidi" w:cstheme="majorBidi"/>
          <w:color w:val="000000"/>
          <w:sz w:val="24"/>
          <w:szCs w:val="24"/>
        </w:rPr>
        <w:lastRenderedPageBreak/>
        <w:t>remained</w:t>
      </w:r>
      <w:r w:rsidRPr="00F35592">
        <w:rPr>
          <w:rFonts w:asciiTheme="majorBidi" w:eastAsia="Times New Roman" w:hAnsiTheme="majorBidi" w:cstheme="majorBidi"/>
          <w:color w:val="000000"/>
          <w:sz w:val="24"/>
          <w:szCs w:val="24"/>
        </w:rPr>
        <w:t xml:space="preserve"> pending, </w:t>
      </w:r>
      <w:r w:rsidR="001C7DBA" w:rsidRPr="00F35592">
        <w:rPr>
          <w:rFonts w:asciiTheme="majorBidi" w:eastAsia="Times New Roman" w:hAnsiTheme="majorBidi" w:cstheme="majorBidi"/>
          <w:color w:val="000000"/>
          <w:sz w:val="24"/>
          <w:szCs w:val="24"/>
        </w:rPr>
        <w:t xml:space="preserve">the Israeli occupying authorities forcibly transferred </w:t>
      </w:r>
      <w:r w:rsidRPr="00F35592">
        <w:rPr>
          <w:rFonts w:asciiTheme="majorBidi" w:eastAsia="Times New Roman" w:hAnsiTheme="majorBidi" w:cstheme="majorBidi"/>
          <w:color w:val="000000"/>
          <w:sz w:val="24"/>
          <w:szCs w:val="24"/>
        </w:rPr>
        <w:t xml:space="preserve">the </w:t>
      </w:r>
      <w:r w:rsidR="001C7DBA" w:rsidRPr="00F35592">
        <w:rPr>
          <w:rFonts w:asciiTheme="majorBidi" w:eastAsia="Times New Roman" w:hAnsiTheme="majorBidi" w:cstheme="majorBidi"/>
          <w:color w:val="000000"/>
          <w:sz w:val="24"/>
          <w:szCs w:val="24"/>
        </w:rPr>
        <w:t>former</w:t>
      </w:r>
      <w:r w:rsidRPr="00F35592">
        <w:rPr>
          <w:rFonts w:asciiTheme="majorBidi" w:eastAsia="Times New Roman" w:hAnsiTheme="majorBidi" w:cstheme="majorBidi"/>
          <w:color w:val="000000"/>
          <w:sz w:val="24"/>
          <w:szCs w:val="24"/>
        </w:rPr>
        <w:t xml:space="preserve"> Minister of Jerusalem and the three parliamentarians to the West Bank</w:t>
      </w:r>
      <w:r w:rsidR="001C7DBA" w:rsidRPr="00F35592">
        <w:rPr>
          <w:rFonts w:asciiTheme="majorBidi" w:eastAsia="Times New Roman" w:hAnsiTheme="majorBidi" w:cstheme="majorBidi"/>
          <w:color w:val="000000"/>
          <w:sz w:val="24"/>
          <w:szCs w:val="24"/>
        </w:rPr>
        <w:t xml:space="preserve"> </w:t>
      </w:r>
      <w:r w:rsidRPr="00F35592">
        <w:rPr>
          <w:rFonts w:asciiTheme="majorBidi" w:eastAsia="Times New Roman" w:hAnsiTheme="majorBidi" w:cstheme="majorBidi"/>
          <w:color w:val="000000"/>
          <w:sz w:val="24"/>
          <w:szCs w:val="24"/>
        </w:rPr>
        <w:t>in 2013.</w:t>
      </w:r>
    </w:p>
    <w:p w14:paraId="1E8E4989" w14:textId="06F41D76" w:rsidR="00731447" w:rsidRPr="00F35592" w:rsidRDefault="00AA735D" w:rsidP="0047251A">
      <w:pPr>
        <w:pBdr>
          <w:top w:val="nil"/>
          <w:left w:val="nil"/>
          <w:bottom w:val="nil"/>
          <w:right w:val="nil"/>
          <w:between w:val="nil"/>
        </w:pBdr>
        <w:spacing w:before="200" w:after="200" w:line="269" w:lineRule="auto"/>
        <w:jc w:val="both"/>
        <w:rPr>
          <w:rFonts w:asciiTheme="majorBidi" w:eastAsia="Times New Roman" w:hAnsiTheme="majorBidi" w:cstheme="majorBidi"/>
          <w:sz w:val="24"/>
          <w:szCs w:val="24"/>
        </w:rPr>
      </w:pPr>
      <w:r w:rsidRPr="00F35592">
        <w:rPr>
          <w:rFonts w:asciiTheme="majorBidi" w:eastAsia="Times New Roman" w:hAnsiTheme="majorBidi" w:cstheme="majorBidi"/>
          <w:sz w:val="24"/>
          <w:szCs w:val="24"/>
        </w:rPr>
        <w:t xml:space="preserve">In </w:t>
      </w:r>
      <w:r w:rsidRPr="00F35592">
        <w:rPr>
          <w:rFonts w:asciiTheme="majorBidi" w:eastAsia="Times New Roman" w:hAnsiTheme="majorBidi" w:cstheme="majorBidi"/>
          <w:bCs/>
          <w:sz w:val="24"/>
          <w:szCs w:val="24"/>
        </w:rPr>
        <w:t>January 2016</w:t>
      </w:r>
      <w:r w:rsidRPr="00F35592">
        <w:rPr>
          <w:rFonts w:asciiTheme="majorBidi" w:eastAsia="Times New Roman" w:hAnsiTheme="majorBidi" w:cstheme="majorBidi"/>
          <w:sz w:val="24"/>
          <w:szCs w:val="24"/>
        </w:rPr>
        <w:t xml:space="preserve">, without awaiting the </w:t>
      </w:r>
      <w:r w:rsidR="001C7DBA" w:rsidRPr="00F35592">
        <w:rPr>
          <w:rFonts w:asciiTheme="majorBidi" w:eastAsia="Times New Roman" w:hAnsiTheme="majorBidi" w:cstheme="majorBidi"/>
          <w:sz w:val="24"/>
          <w:szCs w:val="24"/>
        </w:rPr>
        <w:t>decision</w:t>
      </w:r>
      <w:r w:rsidRPr="00F35592">
        <w:rPr>
          <w:rFonts w:asciiTheme="majorBidi" w:eastAsia="Times New Roman" w:hAnsiTheme="majorBidi" w:cstheme="majorBidi"/>
          <w:sz w:val="24"/>
          <w:szCs w:val="24"/>
        </w:rPr>
        <w:t xml:space="preserve"> of the </w:t>
      </w:r>
      <w:r w:rsidR="001C7DBA" w:rsidRPr="00F35592">
        <w:rPr>
          <w:rFonts w:asciiTheme="majorBidi" w:eastAsia="Times New Roman" w:hAnsiTheme="majorBidi" w:cstheme="majorBidi"/>
          <w:sz w:val="24"/>
          <w:szCs w:val="24"/>
        </w:rPr>
        <w:t xml:space="preserve">Israeli </w:t>
      </w:r>
      <w:r w:rsidRPr="00F35592">
        <w:rPr>
          <w:rFonts w:asciiTheme="majorBidi" w:eastAsia="Times New Roman" w:hAnsiTheme="majorBidi" w:cstheme="majorBidi"/>
          <w:sz w:val="24"/>
          <w:szCs w:val="24"/>
        </w:rPr>
        <w:t>Supreme Court</w:t>
      </w:r>
      <w:r w:rsidR="001C7DBA" w:rsidRPr="00F35592">
        <w:rPr>
          <w:rFonts w:asciiTheme="majorBidi" w:eastAsia="Times New Roman" w:hAnsiTheme="majorBidi" w:cstheme="majorBidi"/>
          <w:sz w:val="24"/>
          <w:szCs w:val="24"/>
        </w:rPr>
        <w:t xml:space="preserve"> on the matter</w:t>
      </w:r>
      <w:r w:rsidRPr="00F35592">
        <w:rPr>
          <w:rFonts w:asciiTheme="majorBidi" w:eastAsia="Times New Roman" w:hAnsiTheme="majorBidi" w:cstheme="majorBidi"/>
          <w:sz w:val="24"/>
          <w:szCs w:val="24"/>
        </w:rPr>
        <w:t xml:space="preserve">, the Minister of Interior revoked the residency status of three East Jerusalem Palestinians accused of throwing stones at </w:t>
      </w:r>
      <w:r w:rsidR="001C7DBA" w:rsidRPr="00F35592">
        <w:rPr>
          <w:rFonts w:asciiTheme="majorBidi" w:eastAsia="Times New Roman" w:hAnsiTheme="majorBidi" w:cstheme="majorBidi"/>
          <w:sz w:val="24"/>
          <w:szCs w:val="24"/>
        </w:rPr>
        <w:t>an Israeli vehicle near Sur Bahi</w:t>
      </w:r>
      <w:r w:rsidR="008851ED">
        <w:rPr>
          <w:rFonts w:asciiTheme="majorBidi" w:eastAsia="Times New Roman" w:hAnsiTheme="majorBidi" w:cstheme="majorBidi"/>
          <w:sz w:val="24"/>
          <w:szCs w:val="24"/>
        </w:rPr>
        <w:t>r on 13 September 2015</w:t>
      </w:r>
      <w:r w:rsidRPr="00F35592">
        <w:rPr>
          <w:rFonts w:asciiTheme="majorBidi" w:eastAsia="Times New Roman" w:hAnsiTheme="majorBidi" w:cstheme="majorBidi"/>
          <w:sz w:val="24"/>
          <w:szCs w:val="24"/>
        </w:rPr>
        <w:t xml:space="preserve"> which</w:t>
      </w:r>
      <w:r w:rsidR="008851ED">
        <w:rPr>
          <w:rFonts w:asciiTheme="majorBidi" w:eastAsia="Times New Roman" w:hAnsiTheme="majorBidi" w:cstheme="majorBidi"/>
          <w:sz w:val="24"/>
          <w:szCs w:val="24"/>
        </w:rPr>
        <w:t>,</w:t>
      </w:r>
      <w:r w:rsidRPr="00F35592">
        <w:rPr>
          <w:rFonts w:asciiTheme="majorBidi" w:eastAsia="Times New Roman" w:hAnsiTheme="majorBidi" w:cstheme="majorBidi"/>
          <w:sz w:val="24"/>
          <w:szCs w:val="24"/>
        </w:rPr>
        <w:t xml:space="preserve"> according to the Israeli authorities</w:t>
      </w:r>
      <w:r w:rsidR="008851ED">
        <w:rPr>
          <w:rFonts w:asciiTheme="majorBidi" w:eastAsia="Times New Roman" w:hAnsiTheme="majorBidi" w:cstheme="majorBidi"/>
          <w:sz w:val="24"/>
          <w:szCs w:val="24"/>
        </w:rPr>
        <w:t>,</w:t>
      </w:r>
      <w:r w:rsidRPr="00F35592">
        <w:rPr>
          <w:rFonts w:asciiTheme="majorBidi" w:eastAsia="Times New Roman" w:hAnsiTheme="majorBidi" w:cstheme="majorBidi"/>
          <w:sz w:val="24"/>
          <w:szCs w:val="24"/>
        </w:rPr>
        <w:t xml:space="preserve"> led to a car accident in which the driv</w:t>
      </w:r>
      <w:r w:rsidR="008E7D6B" w:rsidRPr="00F35592">
        <w:rPr>
          <w:rFonts w:asciiTheme="majorBidi" w:eastAsia="Times New Roman" w:hAnsiTheme="majorBidi" w:cstheme="majorBidi"/>
          <w:sz w:val="24"/>
          <w:szCs w:val="24"/>
        </w:rPr>
        <w:t>er died. Abed Dwayat, Mohammad Abu Kaf, and Waleed Al-</w:t>
      </w:r>
      <w:r w:rsidRPr="00F35592">
        <w:rPr>
          <w:rFonts w:asciiTheme="majorBidi" w:eastAsia="Times New Roman" w:hAnsiTheme="majorBidi" w:cstheme="majorBidi"/>
          <w:sz w:val="24"/>
          <w:szCs w:val="24"/>
        </w:rPr>
        <w:t>Atrash, were charged</w:t>
      </w:r>
      <w:r w:rsidR="001C7DBA" w:rsidRPr="00F35592">
        <w:rPr>
          <w:rFonts w:asciiTheme="majorBidi" w:eastAsia="Times New Roman" w:hAnsiTheme="majorBidi" w:cstheme="majorBidi"/>
          <w:sz w:val="24"/>
          <w:szCs w:val="24"/>
        </w:rPr>
        <w:t>,</w:t>
      </w:r>
      <w:r w:rsidRPr="00F35592">
        <w:rPr>
          <w:rFonts w:asciiTheme="majorBidi" w:eastAsia="Times New Roman" w:hAnsiTheme="majorBidi" w:cstheme="majorBidi"/>
          <w:sz w:val="24"/>
          <w:szCs w:val="24"/>
        </w:rPr>
        <w:t xml:space="preserve"> on 15 October 2015</w:t>
      </w:r>
      <w:r w:rsidR="001C7DBA" w:rsidRPr="00F35592">
        <w:rPr>
          <w:rFonts w:asciiTheme="majorBidi" w:eastAsia="Times New Roman" w:hAnsiTheme="majorBidi" w:cstheme="majorBidi"/>
          <w:sz w:val="24"/>
          <w:szCs w:val="24"/>
        </w:rPr>
        <w:t>,</w:t>
      </w:r>
      <w:r w:rsidRPr="00F35592">
        <w:rPr>
          <w:rFonts w:asciiTheme="majorBidi" w:eastAsia="Times New Roman" w:hAnsiTheme="majorBidi" w:cstheme="majorBidi"/>
          <w:sz w:val="24"/>
          <w:szCs w:val="24"/>
        </w:rPr>
        <w:t xml:space="preserve"> with manslaughter, stone throwing at a vehicle, and the infliction of severe injury. </w:t>
      </w:r>
      <w:r w:rsidR="001F5629" w:rsidRPr="00F35592">
        <w:rPr>
          <w:rFonts w:asciiTheme="majorBidi" w:eastAsia="Times New Roman" w:hAnsiTheme="majorBidi" w:cstheme="majorBidi"/>
          <w:sz w:val="24"/>
          <w:szCs w:val="24"/>
        </w:rPr>
        <w:t xml:space="preserve">All three </w:t>
      </w:r>
      <w:r w:rsidRPr="00F35592">
        <w:rPr>
          <w:rFonts w:asciiTheme="majorBidi" w:eastAsia="Times New Roman" w:hAnsiTheme="majorBidi" w:cstheme="majorBidi"/>
          <w:sz w:val="24"/>
          <w:szCs w:val="24"/>
        </w:rPr>
        <w:t xml:space="preserve">are currently serving prison sentences ranging from </w:t>
      </w:r>
      <w:r w:rsidR="001C7DBA" w:rsidRPr="00F35592">
        <w:rPr>
          <w:rFonts w:asciiTheme="majorBidi" w:eastAsia="Times New Roman" w:hAnsiTheme="majorBidi" w:cstheme="majorBidi"/>
          <w:sz w:val="24"/>
          <w:szCs w:val="24"/>
          <w:highlight w:val="white"/>
        </w:rPr>
        <w:t>13.5 to 18 years.</w:t>
      </w:r>
    </w:p>
    <w:p w14:paraId="53A7C09E" w14:textId="33454275" w:rsidR="00731447" w:rsidRPr="00F35592" w:rsidRDefault="001C7DBA" w:rsidP="0047251A">
      <w:pPr>
        <w:pBdr>
          <w:top w:val="nil"/>
          <w:left w:val="nil"/>
          <w:bottom w:val="nil"/>
          <w:right w:val="nil"/>
          <w:between w:val="nil"/>
        </w:pBdr>
        <w:spacing w:before="200" w:after="200" w:line="269" w:lineRule="auto"/>
        <w:jc w:val="both"/>
        <w:rPr>
          <w:rFonts w:asciiTheme="majorBidi" w:eastAsia="Times New Roman" w:hAnsiTheme="majorBidi" w:cstheme="majorBidi"/>
          <w:color w:val="000000"/>
          <w:sz w:val="24"/>
          <w:szCs w:val="24"/>
        </w:rPr>
      </w:pPr>
      <w:r w:rsidRPr="00F35592">
        <w:rPr>
          <w:rFonts w:asciiTheme="majorBidi" w:eastAsia="Times New Roman" w:hAnsiTheme="majorBidi" w:cstheme="majorBidi"/>
          <w:color w:val="000000"/>
          <w:sz w:val="24"/>
          <w:szCs w:val="24"/>
        </w:rPr>
        <w:t xml:space="preserve">On 13 September 2017, more than eleven years after the petition </w:t>
      </w:r>
      <w:r w:rsidR="00176290" w:rsidRPr="00F35592">
        <w:rPr>
          <w:rFonts w:asciiTheme="majorBidi" w:eastAsia="Times New Roman" w:hAnsiTheme="majorBidi" w:cstheme="majorBidi"/>
          <w:color w:val="000000"/>
          <w:sz w:val="24"/>
          <w:szCs w:val="24"/>
        </w:rPr>
        <w:t>was</w:t>
      </w:r>
      <w:r w:rsidRPr="00F35592">
        <w:rPr>
          <w:rFonts w:asciiTheme="majorBidi" w:eastAsia="Times New Roman" w:hAnsiTheme="majorBidi" w:cstheme="majorBidi"/>
          <w:color w:val="000000"/>
          <w:sz w:val="24"/>
          <w:szCs w:val="24"/>
        </w:rPr>
        <w:t xml:space="preserve"> filed by the three parliamentarians and the former Palestinian Minister of Jerusalem,</w:t>
      </w:r>
      <w:r w:rsidRPr="00F35592">
        <w:rPr>
          <w:rFonts w:asciiTheme="majorBidi" w:eastAsia="Times New Roman" w:hAnsiTheme="majorBidi" w:cstheme="majorBidi"/>
          <w:sz w:val="24"/>
          <w:szCs w:val="24"/>
        </w:rPr>
        <w:t xml:space="preserve"> t</w:t>
      </w:r>
      <w:r w:rsidR="00AA735D" w:rsidRPr="00F35592">
        <w:rPr>
          <w:rFonts w:asciiTheme="majorBidi" w:eastAsia="Times New Roman" w:hAnsiTheme="majorBidi" w:cstheme="majorBidi"/>
          <w:sz w:val="24"/>
          <w:szCs w:val="24"/>
        </w:rPr>
        <w:t xml:space="preserve">he Israeli Supreme Court rendered </w:t>
      </w:r>
      <w:r w:rsidR="00AA735D" w:rsidRPr="00F35592">
        <w:rPr>
          <w:rFonts w:asciiTheme="majorBidi" w:eastAsia="Times New Roman" w:hAnsiTheme="majorBidi" w:cstheme="majorBidi"/>
          <w:color w:val="000000"/>
          <w:sz w:val="24"/>
          <w:szCs w:val="24"/>
        </w:rPr>
        <w:t>its judgment</w:t>
      </w:r>
      <w:r w:rsidRPr="00F35592">
        <w:rPr>
          <w:rFonts w:asciiTheme="majorBidi" w:eastAsia="Times New Roman" w:hAnsiTheme="majorBidi" w:cstheme="majorBidi"/>
          <w:color w:val="000000"/>
          <w:sz w:val="24"/>
          <w:szCs w:val="24"/>
        </w:rPr>
        <w:t>, in which it acknowledged</w:t>
      </w:r>
      <w:r w:rsidR="00AA735D" w:rsidRPr="00F35592">
        <w:rPr>
          <w:rFonts w:asciiTheme="majorBidi" w:eastAsia="Times New Roman" w:hAnsiTheme="majorBidi" w:cstheme="majorBidi"/>
          <w:color w:val="000000"/>
          <w:sz w:val="24"/>
          <w:szCs w:val="24"/>
        </w:rPr>
        <w:t xml:space="preserve"> the absence of any legal grounds in Israeli legislation </w:t>
      </w:r>
      <w:r w:rsidRPr="00F35592">
        <w:rPr>
          <w:rFonts w:asciiTheme="majorBidi" w:eastAsia="Times New Roman" w:hAnsiTheme="majorBidi" w:cstheme="majorBidi"/>
          <w:color w:val="000000"/>
          <w:sz w:val="24"/>
          <w:szCs w:val="24"/>
        </w:rPr>
        <w:t>allowing for the</w:t>
      </w:r>
      <w:r w:rsidR="00AA735D" w:rsidRPr="00F35592">
        <w:rPr>
          <w:rFonts w:asciiTheme="majorBidi" w:eastAsia="Times New Roman" w:hAnsiTheme="majorBidi" w:cstheme="majorBidi"/>
          <w:color w:val="000000"/>
          <w:sz w:val="24"/>
          <w:szCs w:val="24"/>
        </w:rPr>
        <w:t xml:space="preserve"> punitive revocation </w:t>
      </w:r>
      <w:r w:rsidRPr="00F35592">
        <w:rPr>
          <w:rFonts w:asciiTheme="majorBidi" w:eastAsia="Times New Roman" w:hAnsiTheme="majorBidi" w:cstheme="majorBidi"/>
          <w:color w:val="000000"/>
          <w:sz w:val="24"/>
          <w:szCs w:val="24"/>
        </w:rPr>
        <w:t xml:space="preserve">of residency rights </w:t>
      </w:r>
      <w:r w:rsidR="00AA735D" w:rsidRPr="00F35592">
        <w:rPr>
          <w:rFonts w:asciiTheme="majorBidi" w:eastAsia="Times New Roman" w:hAnsiTheme="majorBidi" w:cstheme="majorBidi"/>
          <w:color w:val="000000"/>
          <w:sz w:val="24"/>
          <w:szCs w:val="24"/>
        </w:rPr>
        <w:t xml:space="preserve">on the basis of so-called </w:t>
      </w:r>
      <w:r w:rsidRPr="00F35592">
        <w:rPr>
          <w:rFonts w:asciiTheme="majorBidi" w:eastAsia="Times New Roman" w:hAnsiTheme="majorBidi" w:cstheme="majorBidi"/>
          <w:color w:val="000000"/>
          <w:sz w:val="24"/>
          <w:szCs w:val="24"/>
        </w:rPr>
        <w:t>‘breach of allegiance</w:t>
      </w:r>
      <w:r w:rsidR="00AA735D" w:rsidRPr="00F35592">
        <w:rPr>
          <w:rFonts w:asciiTheme="majorBidi" w:eastAsia="Times New Roman" w:hAnsiTheme="majorBidi" w:cstheme="majorBidi"/>
          <w:color w:val="000000"/>
          <w:sz w:val="24"/>
          <w:szCs w:val="24"/>
        </w:rPr>
        <w:t>’</w:t>
      </w:r>
      <w:r w:rsidRPr="00F35592">
        <w:rPr>
          <w:rFonts w:asciiTheme="majorBidi" w:eastAsia="Times New Roman" w:hAnsiTheme="majorBidi" w:cstheme="majorBidi"/>
          <w:color w:val="000000"/>
          <w:sz w:val="24"/>
          <w:szCs w:val="24"/>
        </w:rPr>
        <w:t xml:space="preserve"> to Israel.</w:t>
      </w:r>
      <w:r w:rsidR="00AA735D" w:rsidRPr="00F35592">
        <w:rPr>
          <w:rFonts w:asciiTheme="majorBidi" w:eastAsia="Times New Roman" w:hAnsiTheme="majorBidi" w:cstheme="majorBidi"/>
          <w:color w:val="000000"/>
          <w:sz w:val="24"/>
          <w:szCs w:val="24"/>
        </w:rPr>
        <w:t xml:space="preserve"> Despite this conclusion, the </w:t>
      </w:r>
      <w:r w:rsidRPr="00F35592">
        <w:rPr>
          <w:rFonts w:asciiTheme="majorBidi" w:eastAsia="Times New Roman" w:hAnsiTheme="majorBidi" w:cstheme="majorBidi"/>
          <w:color w:val="000000"/>
          <w:sz w:val="24"/>
          <w:szCs w:val="24"/>
        </w:rPr>
        <w:t xml:space="preserve">Israeli </w:t>
      </w:r>
      <w:r w:rsidR="00AA735D" w:rsidRPr="00F35592">
        <w:rPr>
          <w:rFonts w:asciiTheme="majorBidi" w:eastAsia="Times New Roman" w:hAnsiTheme="majorBidi" w:cstheme="majorBidi"/>
          <w:color w:val="000000"/>
          <w:sz w:val="24"/>
          <w:szCs w:val="24"/>
        </w:rPr>
        <w:t>Supreme Court upheld the revocation of the petitioners’ residencies for six months, allowing the illegality to continue, and gave the Israeli Parliament (the Knesset) this period of time to change the law in order to legalise punitive residency revocation on the basis of ‘breach of allegiance’ to the State of Israel.</w:t>
      </w:r>
    </w:p>
    <w:p w14:paraId="26FBB1C9" w14:textId="2DF8A18A" w:rsidR="003A4806" w:rsidRDefault="00AA735D" w:rsidP="00F642D5">
      <w:pPr>
        <w:pBdr>
          <w:top w:val="nil"/>
          <w:left w:val="nil"/>
          <w:bottom w:val="nil"/>
          <w:right w:val="nil"/>
          <w:between w:val="nil"/>
        </w:pBdr>
        <w:spacing w:before="200" w:after="200" w:line="269" w:lineRule="auto"/>
        <w:jc w:val="both"/>
        <w:rPr>
          <w:rFonts w:asciiTheme="majorBidi" w:eastAsia="Times New Roman" w:hAnsiTheme="majorBidi" w:cstheme="majorBidi"/>
          <w:color w:val="000000"/>
          <w:sz w:val="24"/>
          <w:szCs w:val="24"/>
        </w:rPr>
      </w:pPr>
      <w:r w:rsidRPr="00F35592">
        <w:rPr>
          <w:rFonts w:asciiTheme="majorBidi" w:eastAsia="Times New Roman" w:hAnsiTheme="majorBidi" w:cstheme="majorBidi"/>
          <w:color w:val="000000"/>
          <w:sz w:val="24"/>
          <w:szCs w:val="24"/>
        </w:rPr>
        <w:t xml:space="preserve">Following the </w:t>
      </w:r>
      <w:r w:rsidR="001C7DBA" w:rsidRPr="00F35592">
        <w:rPr>
          <w:rFonts w:asciiTheme="majorBidi" w:eastAsia="Times New Roman" w:hAnsiTheme="majorBidi" w:cstheme="majorBidi"/>
          <w:color w:val="000000"/>
          <w:sz w:val="24"/>
          <w:szCs w:val="24"/>
        </w:rPr>
        <w:t xml:space="preserve">Israeli </w:t>
      </w:r>
      <w:r w:rsidRPr="00F35592">
        <w:rPr>
          <w:rFonts w:asciiTheme="majorBidi" w:eastAsia="Times New Roman" w:hAnsiTheme="majorBidi" w:cstheme="majorBidi"/>
          <w:color w:val="000000"/>
          <w:sz w:val="24"/>
          <w:szCs w:val="24"/>
        </w:rPr>
        <w:t>Supreme Court judgment</w:t>
      </w:r>
      <w:r w:rsidR="001C7DBA" w:rsidRPr="00F35592">
        <w:rPr>
          <w:rFonts w:asciiTheme="majorBidi" w:eastAsia="Times New Roman" w:hAnsiTheme="majorBidi" w:cstheme="majorBidi"/>
          <w:color w:val="000000"/>
          <w:sz w:val="24"/>
          <w:szCs w:val="24"/>
        </w:rPr>
        <w:t xml:space="preserve"> of 13 September 201</w:t>
      </w:r>
      <w:r w:rsidR="00061A1D" w:rsidRPr="00F35592">
        <w:rPr>
          <w:rFonts w:asciiTheme="majorBidi" w:eastAsia="Times New Roman" w:hAnsiTheme="majorBidi" w:cstheme="majorBidi"/>
          <w:color w:val="000000"/>
          <w:sz w:val="24"/>
          <w:szCs w:val="24"/>
        </w:rPr>
        <w:t>7</w:t>
      </w:r>
      <w:r w:rsidRPr="00F35592">
        <w:rPr>
          <w:rFonts w:asciiTheme="majorBidi" w:eastAsia="Times New Roman" w:hAnsiTheme="majorBidi" w:cstheme="majorBidi"/>
          <w:color w:val="000000"/>
          <w:sz w:val="24"/>
          <w:szCs w:val="24"/>
        </w:rPr>
        <w:t>,</w:t>
      </w:r>
      <w:r w:rsidR="001C7DBA" w:rsidRPr="00F35592">
        <w:rPr>
          <w:rFonts w:asciiTheme="majorBidi" w:eastAsia="Times New Roman" w:hAnsiTheme="majorBidi" w:cstheme="majorBidi"/>
          <w:color w:val="000000"/>
          <w:sz w:val="24"/>
          <w:szCs w:val="24"/>
        </w:rPr>
        <w:t xml:space="preserve"> and within the six-month period set by the Court,</w:t>
      </w:r>
      <w:r w:rsidRPr="00F35592">
        <w:rPr>
          <w:rFonts w:asciiTheme="majorBidi" w:eastAsia="Times New Roman" w:hAnsiTheme="majorBidi" w:cstheme="majorBidi"/>
          <w:color w:val="000000"/>
          <w:sz w:val="24"/>
          <w:szCs w:val="24"/>
        </w:rPr>
        <w:t xml:space="preserve"> </w:t>
      </w:r>
      <w:r w:rsidR="001C7DBA" w:rsidRPr="00F35592">
        <w:rPr>
          <w:rFonts w:asciiTheme="majorBidi" w:eastAsia="Times New Roman" w:hAnsiTheme="majorBidi" w:cstheme="majorBidi"/>
          <w:color w:val="000000"/>
          <w:sz w:val="24"/>
          <w:szCs w:val="24"/>
        </w:rPr>
        <w:t>the Israeli P</w:t>
      </w:r>
      <w:r w:rsidRPr="00F35592">
        <w:rPr>
          <w:rFonts w:asciiTheme="majorBidi" w:eastAsia="Times New Roman" w:hAnsiTheme="majorBidi" w:cstheme="majorBidi"/>
          <w:color w:val="000000"/>
          <w:sz w:val="24"/>
          <w:szCs w:val="24"/>
        </w:rPr>
        <w:t>arliament amended th</w:t>
      </w:r>
      <w:r w:rsidR="008E7D6B" w:rsidRPr="00F35592">
        <w:rPr>
          <w:rFonts w:asciiTheme="majorBidi" w:eastAsia="Times New Roman" w:hAnsiTheme="majorBidi" w:cstheme="majorBidi"/>
          <w:color w:val="000000"/>
          <w:sz w:val="24"/>
          <w:szCs w:val="24"/>
        </w:rPr>
        <w:t>e Entry into Israel Law of 1952</w:t>
      </w:r>
      <w:r w:rsidR="001C7DBA" w:rsidRPr="00F35592">
        <w:rPr>
          <w:rFonts w:asciiTheme="majorBidi" w:eastAsia="Times New Roman" w:hAnsiTheme="majorBidi" w:cstheme="majorBidi"/>
          <w:color w:val="000000"/>
          <w:sz w:val="24"/>
          <w:szCs w:val="24"/>
        </w:rPr>
        <w:t>, on 7 March 2018,</w:t>
      </w:r>
      <w:r w:rsidRPr="00F35592">
        <w:rPr>
          <w:rFonts w:asciiTheme="majorBidi" w:eastAsia="Times New Roman" w:hAnsiTheme="majorBidi" w:cstheme="majorBidi"/>
          <w:color w:val="000000"/>
          <w:sz w:val="24"/>
          <w:szCs w:val="24"/>
        </w:rPr>
        <w:t xml:space="preserve"> thereby granting the Israeli Interior Minister the power to revoke residency rights of Palestinians based on the additional criterion of ‘breach of allegiance’ to Israel. According to the Law, as amended, ‘breach of allegiance’ is defined as committing, or participating in, or incitement to commit a terrorist act, or belonging to a terrorist organization, as well as committing acts of treason or aggravated espionage. By using this overbroad and vague definition of ‘breach of allegiance,’ the Israeli Parliament has made it possible for current and future Israeli Interior Ministers to revoke the residency rights of </w:t>
      </w:r>
      <w:r w:rsidR="00E95FE5" w:rsidRPr="00F35592">
        <w:rPr>
          <w:rFonts w:asciiTheme="majorBidi" w:eastAsia="Times New Roman" w:hAnsiTheme="majorBidi" w:cstheme="majorBidi"/>
          <w:color w:val="000000"/>
          <w:sz w:val="24"/>
          <w:szCs w:val="24"/>
        </w:rPr>
        <w:t>any Palestinian</w:t>
      </w:r>
      <w:r w:rsidRPr="00F35592">
        <w:rPr>
          <w:rFonts w:asciiTheme="majorBidi" w:eastAsia="Times New Roman" w:hAnsiTheme="majorBidi" w:cstheme="majorBidi"/>
          <w:color w:val="000000"/>
          <w:sz w:val="24"/>
          <w:szCs w:val="24"/>
        </w:rPr>
        <w:t xml:space="preserve">, based solely on their own interpretation that the resident “has committed an act which is considered a breach of </w:t>
      </w:r>
      <w:r w:rsidR="00F642D5">
        <w:rPr>
          <w:rFonts w:asciiTheme="majorBidi" w:eastAsia="Times New Roman" w:hAnsiTheme="majorBidi" w:cstheme="majorBidi"/>
          <w:color w:val="000000"/>
          <w:sz w:val="24"/>
          <w:szCs w:val="24"/>
        </w:rPr>
        <w:t>loyalty</w:t>
      </w:r>
      <w:r w:rsidRPr="00F35592">
        <w:rPr>
          <w:rFonts w:asciiTheme="majorBidi" w:eastAsia="Times New Roman" w:hAnsiTheme="majorBidi" w:cstheme="majorBidi"/>
          <w:color w:val="000000"/>
          <w:sz w:val="24"/>
          <w:szCs w:val="24"/>
        </w:rPr>
        <w:t xml:space="preserve"> to the State of Israel.” </w:t>
      </w:r>
      <w:r w:rsidR="00061A1D" w:rsidRPr="00F35592">
        <w:rPr>
          <w:rFonts w:asciiTheme="majorBidi" w:eastAsia="Times New Roman" w:hAnsiTheme="majorBidi" w:cstheme="majorBidi"/>
          <w:color w:val="000000"/>
          <w:sz w:val="24"/>
          <w:szCs w:val="24"/>
        </w:rPr>
        <w:t>(</w:t>
      </w:r>
      <w:r w:rsidR="00061A1D" w:rsidRPr="00332F01">
        <w:rPr>
          <w:rFonts w:asciiTheme="majorBidi" w:eastAsia="Times New Roman" w:hAnsiTheme="majorBidi" w:cstheme="majorBidi"/>
          <w:i/>
          <w:iCs/>
          <w:color w:val="000000"/>
          <w:sz w:val="24"/>
          <w:szCs w:val="24"/>
        </w:rPr>
        <w:t>see</w:t>
      </w:r>
      <w:r w:rsidR="00061A1D" w:rsidRPr="00F35592">
        <w:rPr>
          <w:rFonts w:asciiTheme="majorBidi" w:eastAsia="Times New Roman" w:hAnsiTheme="majorBidi" w:cstheme="majorBidi"/>
          <w:color w:val="000000"/>
          <w:sz w:val="24"/>
          <w:szCs w:val="24"/>
        </w:rPr>
        <w:t xml:space="preserve"> </w:t>
      </w:r>
      <w:r w:rsidR="00061A1D" w:rsidRPr="00F35592">
        <w:rPr>
          <w:rFonts w:asciiTheme="majorBidi" w:eastAsia="Times New Roman" w:hAnsiTheme="majorBidi" w:cstheme="majorBidi"/>
          <w:b/>
          <w:bCs/>
          <w:color w:val="000000"/>
          <w:sz w:val="24"/>
          <w:szCs w:val="24"/>
        </w:rPr>
        <w:t>Annex 3</w:t>
      </w:r>
      <w:r w:rsidR="00061A1D" w:rsidRPr="00F35592">
        <w:rPr>
          <w:rFonts w:asciiTheme="majorBidi" w:eastAsia="Times New Roman" w:hAnsiTheme="majorBidi" w:cstheme="majorBidi"/>
          <w:color w:val="000000"/>
          <w:sz w:val="24"/>
          <w:szCs w:val="24"/>
        </w:rPr>
        <w:t>)</w:t>
      </w:r>
    </w:p>
    <w:p w14:paraId="659561E9" w14:textId="4F096B72" w:rsidR="00731447" w:rsidRPr="00F35592" w:rsidRDefault="003A4806" w:rsidP="0047251A">
      <w:pPr>
        <w:pBdr>
          <w:top w:val="nil"/>
          <w:left w:val="nil"/>
          <w:bottom w:val="nil"/>
          <w:right w:val="nil"/>
          <w:between w:val="nil"/>
        </w:pBdr>
        <w:spacing w:before="200" w:after="200" w:line="269"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While the</w:t>
      </w:r>
      <w:r w:rsidRPr="003A4806">
        <w:rPr>
          <w:rFonts w:asciiTheme="majorBidi" w:eastAsia="Times New Roman" w:hAnsiTheme="majorBidi" w:cstheme="majorBidi"/>
          <w:color w:val="000000"/>
          <w:sz w:val="24"/>
          <w:szCs w:val="24"/>
        </w:rPr>
        <w:t xml:space="preserve"> 2018 amendment to the </w:t>
      </w:r>
      <w:r w:rsidRPr="00F35592">
        <w:rPr>
          <w:rFonts w:asciiTheme="majorBidi" w:eastAsia="Times New Roman" w:hAnsiTheme="majorBidi" w:cstheme="majorBidi"/>
          <w:color w:val="000000"/>
          <w:sz w:val="24"/>
          <w:szCs w:val="24"/>
        </w:rPr>
        <w:t xml:space="preserve">Entry into Israel Law </w:t>
      </w:r>
      <w:r>
        <w:rPr>
          <w:rFonts w:asciiTheme="majorBidi" w:eastAsia="Times New Roman" w:hAnsiTheme="majorBidi" w:cstheme="majorBidi"/>
          <w:color w:val="000000"/>
          <w:sz w:val="24"/>
          <w:szCs w:val="24"/>
        </w:rPr>
        <w:t xml:space="preserve">still </w:t>
      </w:r>
      <w:r w:rsidR="009750A4">
        <w:rPr>
          <w:rFonts w:asciiTheme="majorBidi" w:eastAsia="Times New Roman" w:hAnsiTheme="majorBidi" w:cstheme="majorBidi"/>
          <w:color w:val="000000"/>
          <w:sz w:val="24"/>
          <w:szCs w:val="24"/>
        </w:rPr>
        <w:t>provides</w:t>
      </w:r>
      <w:r w:rsidRPr="003A4806">
        <w:rPr>
          <w:rFonts w:asciiTheme="majorBidi" w:eastAsia="Times New Roman" w:hAnsiTheme="majorBidi" w:cstheme="majorBidi"/>
          <w:color w:val="000000"/>
          <w:sz w:val="24"/>
          <w:szCs w:val="24"/>
        </w:rPr>
        <w:t xml:space="preserve"> that Israel canno</w:t>
      </w:r>
      <w:r>
        <w:rPr>
          <w:rFonts w:asciiTheme="majorBidi" w:eastAsia="Times New Roman" w:hAnsiTheme="majorBidi" w:cstheme="majorBidi"/>
          <w:color w:val="000000"/>
          <w:sz w:val="24"/>
          <w:szCs w:val="24"/>
        </w:rPr>
        <w:t>t revoke the permanent residency status</w:t>
      </w:r>
      <w:r w:rsidRPr="003A4806">
        <w:rPr>
          <w:rFonts w:asciiTheme="majorBidi" w:eastAsia="Times New Roman" w:hAnsiTheme="majorBidi" w:cstheme="majorBidi"/>
          <w:color w:val="000000"/>
          <w:sz w:val="24"/>
          <w:szCs w:val="24"/>
        </w:rPr>
        <w:t xml:space="preserve"> of </w:t>
      </w:r>
      <w:r>
        <w:rPr>
          <w:rFonts w:asciiTheme="majorBidi" w:eastAsia="Times New Roman" w:hAnsiTheme="majorBidi" w:cstheme="majorBidi"/>
          <w:color w:val="000000"/>
          <w:sz w:val="24"/>
          <w:szCs w:val="24"/>
        </w:rPr>
        <w:t>individuals</w:t>
      </w:r>
      <w:r w:rsidRPr="003A4806">
        <w:rPr>
          <w:rFonts w:asciiTheme="majorBidi" w:eastAsia="Times New Roman" w:hAnsiTheme="majorBidi" w:cstheme="majorBidi"/>
          <w:color w:val="000000"/>
          <w:sz w:val="24"/>
          <w:szCs w:val="24"/>
        </w:rPr>
        <w:t xml:space="preserve"> who </w:t>
      </w:r>
      <w:r>
        <w:rPr>
          <w:rFonts w:asciiTheme="majorBidi" w:eastAsia="Times New Roman" w:hAnsiTheme="majorBidi" w:cstheme="majorBidi"/>
          <w:color w:val="000000"/>
          <w:sz w:val="24"/>
          <w:szCs w:val="24"/>
        </w:rPr>
        <w:t>hold no permanent residency</w:t>
      </w:r>
      <w:r w:rsidRPr="003A4806">
        <w:rPr>
          <w:rFonts w:asciiTheme="majorBidi" w:eastAsia="Times New Roman" w:hAnsiTheme="majorBidi" w:cstheme="majorBidi"/>
          <w:color w:val="000000"/>
          <w:sz w:val="24"/>
          <w:szCs w:val="24"/>
        </w:rPr>
        <w:t xml:space="preserve"> or citizenship elsewhere outside </w:t>
      </w:r>
      <w:r>
        <w:rPr>
          <w:rFonts w:asciiTheme="majorBidi" w:eastAsia="Times New Roman" w:hAnsiTheme="majorBidi" w:cstheme="majorBidi"/>
          <w:color w:val="000000"/>
          <w:sz w:val="24"/>
          <w:szCs w:val="24"/>
        </w:rPr>
        <w:t xml:space="preserve">of </w:t>
      </w:r>
      <w:r w:rsidRPr="003A4806">
        <w:rPr>
          <w:rFonts w:asciiTheme="majorBidi" w:eastAsia="Times New Roman" w:hAnsiTheme="majorBidi" w:cstheme="majorBidi"/>
          <w:color w:val="000000"/>
          <w:sz w:val="24"/>
          <w:szCs w:val="24"/>
        </w:rPr>
        <w:t>Israel</w:t>
      </w:r>
      <w:r>
        <w:rPr>
          <w:rFonts w:asciiTheme="majorBidi" w:eastAsia="Times New Roman" w:hAnsiTheme="majorBidi" w:cstheme="majorBidi"/>
          <w:color w:val="000000"/>
          <w:sz w:val="24"/>
          <w:szCs w:val="24"/>
        </w:rPr>
        <w:t xml:space="preserve">, including stateless Palestinians in occupied East Jerusalem, the Ministry of Interior </w:t>
      </w:r>
      <w:r w:rsidR="00AF7D93">
        <w:rPr>
          <w:rFonts w:asciiTheme="majorBidi" w:eastAsia="Times New Roman" w:hAnsiTheme="majorBidi" w:cstheme="majorBidi"/>
          <w:color w:val="000000"/>
          <w:sz w:val="24"/>
          <w:szCs w:val="24"/>
        </w:rPr>
        <w:t xml:space="preserve">has acknowledged that it </w:t>
      </w:r>
      <w:r w:rsidR="004D4C06">
        <w:rPr>
          <w:rFonts w:asciiTheme="majorBidi" w:eastAsia="Times New Roman" w:hAnsiTheme="majorBidi" w:cstheme="majorBidi"/>
          <w:color w:val="000000"/>
          <w:sz w:val="24"/>
          <w:szCs w:val="24"/>
        </w:rPr>
        <w:t xml:space="preserve">has </w:t>
      </w:r>
      <w:r w:rsidR="00AF7D93">
        <w:rPr>
          <w:rFonts w:asciiTheme="majorBidi" w:eastAsia="Times New Roman" w:hAnsiTheme="majorBidi" w:cstheme="majorBidi"/>
          <w:color w:val="000000"/>
          <w:sz w:val="24"/>
          <w:szCs w:val="24"/>
        </w:rPr>
        <w:t>carried out</w:t>
      </w:r>
      <w:r>
        <w:rPr>
          <w:rFonts w:asciiTheme="majorBidi" w:eastAsia="Times New Roman" w:hAnsiTheme="majorBidi" w:cstheme="majorBidi"/>
          <w:color w:val="000000"/>
          <w:sz w:val="24"/>
          <w:szCs w:val="24"/>
        </w:rPr>
        <w:t xml:space="preserve"> 13 residency</w:t>
      </w:r>
      <w:r w:rsidR="004D4C06">
        <w:rPr>
          <w:rFonts w:asciiTheme="majorBidi" w:eastAsia="Times New Roman" w:hAnsiTheme="majorBidi" w:cstheme="majorBidi"/>
          <w:color w:val="000000"/>
          <w:sz w:val="24"/>
          <w:szCs w:val="24"/>
        </w:rPr>
        <w:t xml:space="preserve"> revocations </w:t>
      </w:r>
      <w:r w:rsidR="009E67EB">
        <w:rPr>
          <w:rFonts w:asciiTheme="majorBidi" w:eastAsia="Times New Roman" w:hAnsiTheme="majorBidi" w:cstheme="majorBidi"/>
          <w:color w:val="000000"/>
          <w:sz w:val="24"/>
          <w:szCs w:val="24"/>
        </w:rPr>
        <w:t>so far</w:t>
      </w:r>
      <w:r w:rsidR="004D4C06">
        <w:rPr>
          <w:rFonts w:asciiTheme="majorBidi" w:eastAsia="Times New Roman" w:hAnsiTheme="majorBidi" w:cstheme="majorBidi"/>
          <w:color w:val="000000"/>
          <w:sz w:val="24"/>
          <w:szCs w:val="24"/>
        </w:rPr>
        <w:t xml:space="preserve">. </w:t>
      </w:r>
      <w:r w:rsidR="00AA735D" w:rsidRPr="00F35592">
        <w:rPr>
          <w:rFonts w:asciiTheme="majorBidi" w:eastAsia="Times New Roman" w:hAnsiTheme="majorBidi" w:cstheme="majorBidi"/>
          <w:color w:val="000000"/>
          <w:sz w:val="24"/>
          <w:szCs w:val="24"/>
        </w:rPr>
        <w:t xml:space="preserve">The revocation of permanent residency status is the most direct tool Israel </w:t>
      </w:r>
      <w:r w:rsidR="00E95FE5" w:rsidRPr="00F35592">
        <w:rPr>
          <w:rFonts w:asciiTheme="majorBidi" w:eastAsia="Times New Roman" w:hAnsiTheme="majorBidi" w:cstheme="majorBidi"/>
          <w:color w:val="000000"/>
          <w:sz w:val="24"/>
          <w:szCs w:val="24"/>
        </w:rPr>
        <w:t>has used, to date,</w:t>
      </w:r>
      <w:r w:rsidR="00AA735D" w:rsidRPr="00F35592">
        <w:rPr>
          <w:rFonts w:asciiTheme="majorBidi" w:eastAsia="Times New Roman" w:hAnsiTheme="majorBidi" w:cstheme="majorBidi"/>
          <w:color w:val="000000"/>
          <w:sz w:val="24"/>
          <w:szCs w:val="24"/>
        </w:rPr>
        <w:t xml:space="preserve"> to forcibly transfer Palestinians, in particular from occupied East Jerusalem, with the aim of manipulating the demography </w:t>
      </w:r>
      <w:r w:rsidR="00E95FE5" w:rsidRPr="00F35592">
        <w:rPr>
          <w:rFonts w:asciiTheme="majorBidi" w:eastAsia="Times New Roman" w:hAnsiTheme="majorBidi" w:cstheme="majorBidi"/>
          <w:color w:val="000000"/>
          <w:sz w:val="24"/>
          <w:szCs w:val="24"/>
        </w:rPr>
        <w:t>of</w:t>
      </w:r>
      <w:r w:rsidR="00AA735D" w:rsidRPr="00F35592">
        <w:rPr>
          <w:rFonts w:asciiTheme="majorBidi" w:eastAsia="Times New Roman" w:hAnsiTheme="majorBidi" w:cstheme="majorBidi"/>
          <w:color w:val="000000"/>
          <w:sz w:val="24"/>
          <w:szCs w:val="24"/>
        </w:rPr>
        <w:t xml:space="preserve"> the city and consolidating a</w:t>
      </w:r>
      <w:r w:rsidR="00E95FE5" w:rsidRPr="00F35592">
        <w:rPr>
          <w:rFonts w:asciiTheme="majorBidi" w:eastAsia="Times New Roman" w:hAnsiTheme="majorBidi" w:cstheme="majorBidi"/>
          <w:color w:val="000000"/>
          <w:sz w:val="24"/>
          <w:szCs w:val="24"/>
        </w:rPr>
        <w:t xml:space="preserve">n </w:t>
      </w:r>
      <w:r w:rsidR="00AA735D" w:rsidRPr="00F35592">
        <w:rPr>
          <w:rFonts w:asciiTheme="majorBidi" w:eastAsia="Times New Roman" w:hAnsiTheme="majorBidi" w:cstheme="majorBidi"/>
          <w:color w:val="000000"/>
          <w:sz w:val="24"/>
          <w:szCs w:val="24"/>
        </w:rPr>
        <w:t>Israeli</w:t>
      </w:r>
      <w:r w:rsidR="00E95FE5" w:rsidRPr="00F35592">
        <w:rPr>
          <w:rFonts w:asciiTheme="majorBidi" w:eastAsia="Times New Roman" w:hAnsiTheme="majorBidi" w:cstheme="majorBidi"/>
          <w:color w:val="000000"/>
          <w:sz w:val="24"/>
          <w:szCs w:val="24"/>
        </w:rPr>
        <w:t>-Jewish</w:t>
      </w:r>
      <w:r w:rsidR="00AA735D" w:rsidRPr="00F35592">
        <w:rPr>
          <w:rFonts w:asciiTheme="majorBidi" w:eastAsia="Times New Roman" w:hAnsiTheme="majorBidi" w:cstheme="majorBidi"/>
          <w:color w:val="000000"/>
          <w:sz w:val="24"/>
          <w:szCs w:val="24"/>
        </w:rPr>
        <w:t xml:space="preserve"> majority</w:t>
      </w:r>
      <w:r w:rsidR="00E95FE5" w:rsidRPr="00F35592">
        <w:rPr>
          <w:rFonts w:asciiTheme="majorBidi" w:eastAsia="Times New Roman" w:hAnsiTheme="majorBidi" w:cstheme="majorBidi"/>
          <w:color w:val="000000"/>
          <w:sz w:val="24"/>
          <w:szCs w:val="24"/>
        </w:rPr>
        <w:t xml:space="preserve"> at the expense of the indigenous Palestinian people</w:t>
      </w:r>
      <w:r w:rsidR="00AA735D" w:rsidRPr="00F35592">
        <w:rPr>
          <w:rFonts w:asciiTheme="majorBidi" w:eastAsia="Times New Roman" w:hAnsiTheme="majorBidi" w:cstheme="majorBidi"/>
          <w:color w:val="000000"/>
          <w:sz w:val="24"/>
          <w:szCs w:val="24"/>
        </w:rPr>
        <w:t xml:space="preserve">. Since 1967, Israel </w:t>
      </w:r>
      <w:r w:rsidR="006856AD" w:rsidRPr="00F35592">
        <w:rPr>
          <w:rFonts w:asciiTheme="majorBidi" w:eastAsia="Times New Roman" w:hAnsiTheme="majorBidi" w:cstheme="majorBidi"/>
          <w:color w:val="000000"/>
          <w:sz w:val="24"/>
          <w:szCs w:val="24"/>
        </w:rPr>
        <w:t xml:space="preserve">has </w:t>
      </w:r>
      <w:r w:rsidR="00AA735D" w:rsidRPr="00F35592">
        <w:rPr>
          <w:rFonts w:asciiTheme="majorBidi" w:eastAsia="Times New Roman" w:hAnsiTheme="majorBidi" w:cstheme="majorBidi"/>
          <w:color w:val="000000"/>
          <w:sz w:val="24"/>
          <w:szCs w:val="24"/>
        </w:rPr>
        <w:t xml:space="preserve">consistently expanded the criteria for </w:t>
      </w:r>
      <w:r w:rsidR="00AA735D" w:rsidRPr="00F35592">
        <w:rPr>
          <w:rFonts w:asciiTheme="majorBidi" w:eastAsia="Times New Roman" w:hAnsiTheme="majorBidi" w:cstheme="majorBidi"/>
          <w:color w:val="000000"/>
          <w:sz w:val="24"/>
          <w:szCs w:val="24"/>
        </w:rPr>
        <w:lastRenderedPageBreak/>
        <w:t>revoking the residency status of Palestinians, leading to the revocation of the residency rights of more than 14,500 Palestinians from Jerusalem to date</w:t>
      </w:r>
      <w:r w:rsidR="008E7D6B" w:rsidRPr="00F35592">
        <w:rPr>
          <w:rFonts w:asciiTheme="majorBidi" w:eastAsia="Times New Roman" w:hAnsiTheme="majorBidi" w:cstheme="majorBidi"/>
          <w:color w:val="000000"/>
          <w:sz w:val="24"/>
          <w:szCs w:val="24"/>
        </w:rPr>
        <w:t>.</w:t>
      </w:r>
      <w:r w:rsidR="00AA735D" w:rsidRPr="00F35592">
        <w:rPr>
          <w:rFonts w:asciiTheme="majorBidi" w:eastAsia="Times New Roman" w:hAnsiTheme="majorBidi" w:cstheme="majorBidi"/>
          <w:color w:val="000000"/>
          <w:sz w:val="24"/>
          <w:szCs w:val="24"/>
          <w:vertAlign w:val="superscript"/>
        </w:rPr>
        <w:footnoteReference w:id="8"/>
      </w:r>
    </w:p>
    <w:p w14:paraId="2EDA12CB" w14:textId="05698220" w:rsidR="00731447" w:rsidRPr="00F35592" w:rsidRDefault="00AA735D" w:rsidP="0047251A">
      <w:pPr>
        <w:pBdr>
          <w:top w:val="nil"/>
          <w:left w:val="nil"/>
          <w:bottom w:val="nil"/>
          <w:right w:val="nil"/>
          <w:between w:val="nil"/>
        </w:pBdr>
        <w:spacing w:before="200" w:after="200" w:line="269" w:lineRule="auto"/>
        <w:jc w:val="both"/>
        <w:rPr>
          <w:rFonts w:asciiTheme="majorBidi" w:eastAsia="Times New Roman" w:hAnsiTheme="majorBidi" w:cstheme="majorBidi"/>
          <w:color w:val="000000"/>
          <w:sz w:val="24"/>
          <w:szCs w:val="24"/>
        </w:rPr>
      </w:pPr>
      <w:r w:rsidRPr="00F35592">
        <w:rPr>
          <w:rFonts w:asciiTheme="majorBidi" w:eastAsia="Times New Roman" w:hAnsiTheme="majorBidi" w:cstheme="majorBidi"/>
          <w:color w:val="000000"/>
          <w:sz w:val="24"/>
          <w:szCs w:val="24"/>
        </w:rPr>
        <w:t xml:space="preserve">The three Parliamentarians and the previous Minister of Jerusalem, whose residency revocation was confirmed following the amendment, continue to live </w:t>
      </w:r>
      <w:r w:rsidR="00CD531C" w:rsidRPr="00F35592">
        <w:rPr>
          <w:rFonts w:asciiTheme="majorBidi" w:eastAsia="Times New Roman" w:hAnsiTheme="majorBidi" w:cstheme="majorBidi"/>
          <w:color w:val="000000"/>
          <w:sz w:val="24"/>
          <w:szCs w:val="24"/>
        </w:rPr>
        <w:t>outside of</w:t>
      </w:r>
      <w:r w:rsidRPr="00F35592">
        <w:rPr>
          <w:rFonts w:asciiTheme="majorBidi" w:eastAsia="Times New Roman" w:hAnsiTheme="majorBidi" w:cstheme="majorBidi"/>
          <w:color w:val="000000"/>
          <w:sz w:val="24"/>
          <w:szCs w:val="24"/>
        </w:rPr>
        <w:t xml:space="preserve"> Jerusalem, banned from returning to their homes</w:t>
      </w:r>
      <w:r w:rsidR="006856AD" w:rsidRPr="00F35592">
        <w:rPr>
          <w:rFonts w:asciiTheme="majorBidi" w:eastAsia="Times New Roman" w:hAnsiTheme="majorBidi" w:cstheme="majorBidi"/>
          <w:color w:val="000000"/>
          <w:sz w:val="24"/>
          <w:szCs w:val="24"/>
        </w:rPr>
        <w:t xml:space="preserve"> and property</w:t>
      </w:r>
      <w:r w:rsidRPr="00F35592">
        <w:rPr>
          <w:rFonts w:asciiTheme="majorBidi" w:eastAsia="Times New Roman" w:hAnsiTheme="majorBidi" w:cstheme="majorBidi"/>
          <w:color w:val="000000"/>
          <w:sz w:val="24"/>
          <w:szCs w:val="24"/>
        </w:rPr>
        <w:t xml:space="preserve">, </w:t>
      </w:r>
      <w:r w:rsidR="006856AD" w:rsidRPr="00F35592">
        <w:rPr>
          <w:rFonts w:asciiTheme="majorBidi" w:eastAsia="Times New Roman" w:hAnsiTheme="majorBidi" w:cstheme="majorBidi"/>
          <w:color w:val="000000"/>
          <w:sz w:val="24"/>
          <w:szCs w:val="24"/>
        </w:rPr>
        <w:t xml:space="preserve">their </w:t>
      </w:r>
      <w:r w:rsidRPr="00F35592">
        <w:rPr>
          <w:rFonts w:asciiTheme="majorBidi" w:eastAsia="Times New Roman" w:hAnsiTheme="majorBidi" w:cstheme="majorBidi"/>
          <w:color w:val="000000"/>
          <w:sz w:val="24"/>
          <w:szCs w:val="24"/>
        </w:rPr>
        <w:t>families</w:t>
      </w:r>
      <w:r w:rsidR="006856AD" w:rsidRPr="00F35592">
        <w:rPr>
          <w:rFonts w:asciiTheme="majorBidi" w:eastAsia="Times New Roman" w:hAnsiTheme="majorBidi" w:cstheme="majorBidi"/>
          <w:color w:val="000000"/>
          <w:sz w:val="24"/>
          <w:szCs w:val="24"/>
        </w:rPr>
        <w:t>,</w:t>
      </w:r>
      <w:r w:rsidRPr="00F35592">
        <w:rPr>
          <w:rFonts w:asciiTheme="majorBidi" w:eastAsia="Times New Roman" w:hAnsiTheme="majorBidi" w:cstheme="majorBidi"/>
          <w:color w:val="000000"/>
          <w:sz w:val="24"/>
          <w:szCs w:val="24"/>
        </w:rPr>
        <w:t xml:space="preserve"> and their city. The revocation of the residency status of Palestinians in a punitive manner has thus already been used by Israel against politically active Palestinians, in a manner, which violates their rights to freedom of expression and </w:t>
      </w:r>
      <w:r w:rsidR="006856AD" w:rsidRPr="00F35592">
        <w:rPr>
          <w:rFonts w:asciiTheme="majorBidi" w:eastAsia="Times New Roman" w:hAnsiTheme="majorBidi" w:cstheme="majorBidi"/>
          <w:color w:val="000000"/>
          <w:sz w:val="24"/>
          <w:szCs w:val="24"/>
        </w:rPr>
        <w:t xml:space="preserve">of </w:t>
      </w:r>
      <w:r w:rsidRPr="00F35592">
        <w:rPr>
          <w:rFonts w:asciiTheme="majorBidi" w:eastAsia="Times New Roman" w:hAnsiTheme="majorBidi" w:cstheme="majorBidi"/>
          <w:color w:val="000000"/>
          <w:sz w:val="24"/>
          <w:szCs w:val="24"/>
        </w:rPr>
        <w:t xml:space="preserve">association. If </w:t>
      </w:r>
      <w:r w:rsidR="008A0685" w:rsidRPr="00F35592">
        <w:rPr>
          <w:rFonts w:asciiTheme="majorBidi" w:eastAsia="Times New Roman" w:hAnsiTheme="majorBidi" w:cstheme="majorBidi"/>
          <w:color w:val="000000"/>
          <w:sz w:val="24"/>
          <w:szCs w:val="24"/>
        </w:rPr>
        <w:t xml:space="preserve">the case of the three Parliamentarians and the previous minister of Jerusalem </w:t>
      </w:r>
      <w:r w:rsidRPr="00F35592">
        <w:rPr>
          <w:rFonts w:asciiTheme="majorBidi" w:eastAsia="Times New Roman" w:hAnsiTheme="majorBidi" w:cstheme="majorBidi"/>
          <w:color w:val="000000"/>
          <w:sz w:val="24"/>
          <w:szCs w:val="24"/>
        </w:rPr>
        <w:t xml:space="preserve">is the first </w:t>
      </w:r>
      <w:r w:rsidR="008A0685" w:rsidRPr="00F35592">
        <w:rPr>
          <w:rFonts w:asciiTheme="majorBidi" w:eastAsia="Times New Roman" w:hAnsiTheme="majorBidi" w:cstheme="majorBidi"/>
          <w:color w:val="000000"/>
          <w:sz w:val="24"/>
          <w:szCs w:val="24"/>
        </w:rPr>
        <w:t>example</w:t>
      </w:r>
      <w:r w:rsidRPr="00F35592">
        <w:rPr>
          <w:rFonts w:asciiTheme="majorBidi" w:eastAsia="Times New Roman" w:hAnsiTheme="majorBidi" w:cstheme="majorBidi"/>
          <w:color w:val="000000"/>
          <w:sz w:val="24"/>
          <w:szCs w:val="24"/>
        </w:rPr>
        <w:t xml:space="preserve"> of forcible transfer on the basis of ‘breach of allegiance’, several other cases </w:t>
      </w:r>
      <w:r w:rsidR="00212A41">
        <w:rPr>
          <w:rFonts w:asciiTheme="majorBidi" w:eastAsia="Times New Roman" w:hAnsiTheme="majorBidi" w:cstheme="majorBidi"/>
          <w:color w:val="000000"/>
          <w:sz w:val="24"/>
          <w:szCs w:val="24"/>
        </w:rPr>
        <w:t xml:space="preserve">are likely to </w:t>
      </w:r>
      <w:r w:rsidRPr="00F35592">
        <w:rPr>
          <w:rFonts w:asciiTheme="majorBidi" w:eastAsia="Times New Roman" w:hAnsiTheme="majorBidi" w:cstheme="majorBidi"/>
          <w:color w:val="000000"/>
          <w:sz w:val="24"/>
          <w:szCs w:val="24"/>
        </w:rPr>
        <w:t>ensue as the three impr</w:t>
      </w:r>
      <w:r w:rsidR="006856AD" w:rsidRPr="00F35592">
        <w:rPr>
          <w:rFonts w:asciiTheme="majorBidi" w:eastAsia="Times New Roman" w:hAnsiTheme="majorBidi" w:cstheme="majorBidi"/>
          <w:color w:val="000000"/>
          <w:sz w:val="24"/>
          <w:szCs w:val="24"/>
        </w:rPr>
        <w:t xml:space="preserve">isoned </w:t>
      </w:r>
      <w:r w:rsidR="00212A41">
        <w:rPr>
          <w:rFonts w:asciiTheme="majorBidi" w:eastAsia="Times New Roman" w:hAnsiTheme="majorBidi" w:cstheme="majorBidi"/>
          <w:color w:val="000000"/>
          <w:sz w:val="24"/>
          <w:szCs w:val="24"/>
        </w:rPr>
        <w:t>Palestinians</w:t>
      </w:r>
      <w:r w:rsidR="006856AD" w:rsidRPr="00F35592">
        <w:rPr>
          <w:rFonts w:asciiTheme="majorBidi" w:eastAsia="Times New Roman" w:hAnsiTheme="majorBidi" w:cstheme="majorBidi"/>
          <w:color w:val="000000"/>
          <w:sz w:val="24"/>
          <w:szCs w:val="24"/>
        </w:rPr>
        <w:t xml:space="preserve"> from Sur Bahi</w:t>
      </w:r>
      <w:r w:rsidRPr="00F35592">
        <w:rPr>
          <w:rFonts w:asciiTheme="majorBidi" w:eastAsia="Times New Roman" w:hAnsiTheme="majorBidi" w:cstheme="majorBidi"/>
          <w:color w:val="000000"/>
          <w:sz w:val="24"/>
          <w:szCs w:val="24"/>
        </w:rPr>
        <w:t>r c</w:t>
      </w:r>
      <w:r w:rsidR="006856AD" w:rsidRPr="00F35592">
        <w:rPr>
          <w:rFonts w:asciiTheme="majorBidi" w:eastAsia="Times New Roman" w:hAnsiTheme="majorBidi" w:cstheme="majorBidi"/>
          <w:color w:val="000000"/>
          <w:sz w:val="24"/>
          <w:szCs w:val="24"/>
        </w:rPr>
        <w:t>omplete their prison sentences.</w:t>
      </w:r>
    </w:p>
    <w:p w14:paraId="7F0FC5D7" w14:textId="58F9D81F" w:rsidR="00731447" w:rsidRPr="00F35592" w:rsidRDefault="00AA735D" w:rsidP="0047251A">
      <w:pPr>
        <w:spacing w:before="200" w:after="200" w:line="269" w:lineRule="auto"/>
        <w:jc w:val="both"/>
        <w:rPr>
          <w:rFonts w:asciiTheme="majorBidi" w:eastAsia="Times New Roman" w:hAnsiTheme="majorBidi" w:cstheme="majorBidi"/>
          <w:sz w:val="24"/>
          <w:szCs w:val="24"/>
        </w:rPr>
      </w:pPr>
      <w:r w:rsidRPr="00F35592">
        <w:rPr>
          <w:rFonts w:asciiTheme="majorBidi" w:eastAsia="Times New Roman" w:hAnsiTheme="majorBidi" w:cstheme="majorBidi"/>
          <w:color w:val="000000"/>
          <w:sz w:val="24"/>
          <w:szCs w:val="24"/>
        </w:rPr>
        <w:t xml:space="preserve">With the introduction of </w:t>
      </w:r>
      <w:r w:rsidR="006856AD" w:rsidRPr="00F35592">
        <w:rPr>
          <w:rFonts w:asciiTheme="majorBidi" w:eastAsia="Times New Roman" w:hAnsiTheme="majorBidi" w:cstheme="majorBidi"/>
          <w:color w:val="000000"/>
          <w:sz w:val="24"/>
          <w:szCs w:val="24"/>
        </w:rPr>
        <w:t xml:space="preserve">the </w:t>
      </w:r>
      <w:r w:rsidRPr="00F35592">
        <w:rPr>
          <w:rFonts w:asciiTheme="majorBidi" w:eastAsia="Times New Roman" w:hAnsiTheme="majorBidi" w:cstheme="majorBidi"/>
          <w:color w:val="000000"/>
          <w:sz w:val="24"/>
          <w:szCs w:val="24"/>
        </w:rPr>
        <w:t>‘breach of allegiance’</w:t>
      </w:r>
      <w:r w:rsidR="006856AD" w:rsidRPr="00F35592">
        <w:rPr>
          <w:rFonts w:asciiTheme="majorBidi" w:eastAsia="Times New Roman" w:hAnsiTheme="majorBidi" w:cstheme="majorBidi"/>
          <w:color w:val="000000"/>
          <w:sz w:val="24"/>
          <w:szCs w:val="24"/>
        </w:rPr>
        <w:t xml:space="preserve"> ground for revocation of residency rights</w:t>
      </w:r>
      <w:r w:rsidRPr="00F35592">
        <w:rPr>
          <w:rFonts w:asciiTheme="majorBidi" w:eastAsia="Times New Roman" w:hAnsiTheme="majorBidi" w:cstheme="majorBidi"/>
          <w:color w:val="000000"/>
          <w:sz w:val="24"/>
          <w:szCs w:val="24"/>
        </w:rPr>
        <w:t xml:space="preserve">, Israel has made it possible to revoke the residency status of any Palestinian based on vague, overbroad, and subjective grounds, thereby escalating </w:t>
      </w:r>
      <w:r w:rsidR="006856AD" w:rsidRPr="00F35592">
        <w:rPr>
          <w:rFonts w:asciiTheme="majorBidi" w:eastAsia="Times New Roman" w:hAnsiTheme="majorBidi" w:cstheme="majorBidi"/>
          <w:color w:val="000000"/>
          <w:sz w:val="24"/>
          <w:szCs w:val="24"/>
        </w:rPr>
        <w:t xml:space="preserve">the crime of </w:t>
      </w:r>
      <w:r w:rsidRPr="00F35592">
        <w:rPr>
          <w:rFonts w:asciiTheme="majorBidi" w:eastAsia="Times New Roman" w:hAnsiTheme="majorBidi" w:cstheme="majorBidi"/>
          <w:color w:val="000000"/>
          <w:sz w:val="24"/>
          <w:szCs w:val="24"/>
        </w:rPr>
        <w:t>population transfer and demographic manipulation</w:t>
      </w:r>
      <w:r w:rsidR="006856AD" w:rsidRPr="00F35592">
        <w:rPr>
          <w:rFonts w:asciiTheme="majorBidi" w:eastAsia="Times New Roman" w:hAnsiTheme="majorBidi" w:cstheme="majorBidi"/>
          <w:color w:val="000000"/>
          <w:sz w:val="24"/>
          <w:szCs w:val="24"/>
        </w:rPr>
        <w:t xml:space="preserve"> at the expense of the inalienable rights of the Palestinian people, including freedom of movement and residence</w:t>
      </w:r>
      <w:r w:rsidR="00195A08" w:rsidRPr="00F35592">
        <w:rPr>
          <w:rFonts w:asciiTheme="majorBidi" w:eastAsia="Times New Roman" w:hAnsiTheme="majorBidi" w:cstheme="majorBidi"/>
          <w:color w:val="000000"/>
          <w:sz w:val="24"/>
          <w:szCs w:val="24"/>
        </w:rPr>
        <w:t xml:space="preserve"> and</w:t>
      </w:r>
      <w:r w:rsidR="006856AD" w:rsidRPr="00F35592">
        <w:rPr>
          <w:rFonts w:asciiTheme="majorBidi" w:eastAsia="Times New Roman" w:hAnsiTheme="majorBidi" w:cstheme="majorBidi"/>
          <w:color w:val="000000"/>
          <w:sz w:val="24"/>
          <w:szCs w:val="24"/>
        </w:rPr>
        <w:t xml:space="preserve"> </w:t>
      </w:r>
      <w:r w:rsidR="00195A08" w:rsidRPr="00F35592">
        <w:rPr>
          <w:rFonts w:asciiTheme="majorBidi" w:eastAsia="Times New Roman" w:hAnsiTheme="majorBidi" w:cstheme="majorBidi"/>
          <w:color w:val="000000"/>
          <w:sz w:val="24"/>
          <w:szCs w:val="24"/>
        </w:rPr>
        <w:t>t</w:t>
      </w:r>
      <w:r w:rsidR="006856AD" w:rsidRPr="00F35592">
        <w:rPr>
          <w:rFonts w:asciiTheme="majorBidi" w:eastAsia="Times New Roman" w:hAnsiTheme="majorBidi" w:cstheme="majorBidi"/>
          <w:color w:val="000000"/>
          <w:sz w:val="24"/>
          <w:szCs w:val="24"/>
        </w:rPr>
        <w:t>he right to leave one’s country and to return</w:t>
      </w:r>
      <w:r w:rsidRPr="00F35592">
        <w:rPr>
          <w:rFonts w:asciiTheme="majorBidi" w:eastAsia="Times New Roman" w:hAnsiTheme="majorBidi" w:cstheme="majorBidi"/>
          <w:color w:val="000000"/>
          <w:sz w:val="24"/>
          <w:szCs w:val="24"/>
        </w:rPr>
        <w:t xml:space="preserve">. </w:t>
      </w:r>
      <w:r w:rsidR="006856AD" w:rsidRPr="00F35592">
        <w:rPr>
          <w:rFonts w:asciiTheme="majorBidi" w:eastAsia="Times New Roman" w:hAnsiTheme="majorBidi" w:cstheme="majorBidi"/>
          <w:color w:val="000000"/>
          <w:sz w:val="24"/>
          <w:szCs w:val="24"/>
        </w:rPr>
        <w:t>Following the initiation of</w:t>
      </w:r>
      <w:r w:rsidRPr="00F35592">
        <w:rPr>
          <w:rFonts w:asciiTheme="majorBidi" w:eastAsia="Times New Roman" w:hAnsiTheme="majorBidi" w:cstheme="majorBidi"/>
          <w:color w:val="000000"/>
          <w:sz w:val="24"/>
          <w:szCs w:val="24"/>
        </w:rPr>
        <w:t xml:space="preserve"> legal proceedings in the case of </w:t>
      </w:r>
      <w:r w:rsidR="006856AD" w:rsidRPr="00F35592">
        <w:rPr>
          <w:rFonts w:asciiTheme="majorBidi" w:eastAsia="Times New Roman" w:hAnsiTheme="majorBidi" w:cstheme="majorBidi"/>
          <w:color w:val="000000"/>
          <w:sz w:val="24"/>
          <w:szCs w:val="24"/>
        </w:rPr>
        <w:t>Omar</w:t>
      </w:r>
      <w:r w:rsidRPr="00F35592">
        <w:rPr>
          <w:rFonts w:asciiTheme="majorBidi" w:eastAsia="Times New Roman" w:hAnsiTheme="majorBidi" w:cstheme="majorBidi"/>
          <w:color w:val="000000"/>
          <w:sz w:val="24"/>
          <w:szCs w:val="24"/>
        </w:rPr>
        <w:t xml:space="preserve"> Barghouti</w:t>
      </w:r>
      <w:r w:rsidR="006856AD" w:rsidRPr="00F35592">
        <w:rPr>
          <w:rFonts w:asciiTheme="majorBidi" w:eastAsia="Times New Roman" w:hAnsiTheme="majorBidi" w:cstheme="majorBidi"/>
          <w:color w:val="000000"/>
          <w:sz w:val="24"/>
          <w:szCs w:val="24"/>
        </w:rPr>
        <w:t>, our organis</w:t>
      </w:r>
      <w:r w:rsidRPr="00F35592">
        <w:rPr>
          <w:rFonts w:asciiTheme="majorBidi" w:eastAsia="Times New Roman" w:hAnsiTheme="majorBidi" w:cstheme="majorBidi"/>
          <w:color w:val="000000"/>
          <w:sz w:val="24"/>
          <w:szCs w:val="24"/>
        </w:rPr>
        <w:t xml:space="preserve">ations fear that additional Palestinians will be targeted for exercising their </w:t>
      </w:r>
      <w:r w:rsidR="006856AD" w:rsidRPr="00F35592">
        <w:rPr>
          <w:rFonts w:asciiTheme="majorBidi" w:eastAsia="Times New Roman" w:hAnsiTheme="majorBidi" w:cstheme="majorBidi"/>
          <w:color w:val="000000"/>
          <w:sz w:val="24"/>
          <w:szCs w:val="24"/>
        </w:rPr>
        <w:t xml:space="preserve">right to </w:t>
      </w:r>
      <w:r w:rsidRPr="00F35592">
        <w:rPr>
          <w:rFonts w:asciiTheme="majorBidi" w:eastAsia="Times New Roman" w:hAnsiTheme="majorBidi" w:cstheme="majorBidi"/>
          <w:color w:val="000000"/>
          <w:sz w:val="24"/>
          <w:szCs w:val="24"/>
        </w:rPr>
        <w:t>freedom of expression</w:t>
      </w:r>
      <w:r w:rsidR="009F3A73" w:rsidRPr="00F35592">
        <w:rPr>
          <w:rFonts w:asciiTheme="majorBidi" w:eastAsia="Times New Roman" w:hAnsiTheme="majorBidi" w:cstheme="majorBidi"/>
          <w:color w:val="000000"/>
          <w:sz w:val="24"/>
          <w:szCs w:val="24"/>
        </w:rPr>
        <w:t xml:space="preserve"> and</w:t>
      </w:r>
      <w:r w:rsidR="006856AD" w:rsidRPr="00F35592">
        <w:rPr>
          <w:rFonts w:asciiTheme="majorBidi" w:eastAsia="Times New Roman" w:hAnsiTheme="majorBidi" w:cstheme="majorBidi"/>
          <w:color w:val="000000"/>
          <w:sz w:val="24"/>
          <w:szCs w:val="24"/>
        </w:rPr>
        <w:t xml:space="preserve"> for challenging Israel’s widespread and systematic human rights violations.</w:t>
      </w:r>
    </w:p>
    <w:p w14:paraId="1B25CFFB" w14:textId="77777777" w:rsidR="00731447" w:rsidRPr="00F35592" w:rsidRDefault="00AA735D" w:rsidP="0047251A">
      <w:pPr>
        <w:numPr>
          <w:ilvl w:val="0"/>
          <w:numId w:val="1"/>
        </w:numPr>
        <w:pBdr>
          <w:top w:val="nil"/>
          <w:left w:val="nil"/>
          <w:bottom w:val="nil"/>
          <w:right w:val="nil"/>
          <w:between w:val="nil"/>
        </w:pBdr>
        <w:tabs>
          <w:tab w:val="left" w:pos="630"/>
        </w:tabs>
        <w:spacing w:before="200" w:after="200" w:line="269" w:lineRule="auto"/>
        <w:ind w:left="426" w:right="4" w:hanging="426"/>
        <w:rPr>
          <w:rFonts w:asciiTheme="majorBidi" w:eastAsia="Times New Roman" w:hAnsiTheme="majorBidi" w:cstheme="majorBidi"/>
          <w:b/>
          <w:color w:val="000000"/>
          <w:sz w:val="24"/>
          <w:szCs w:val="24"/>
        </w:rPr>
      </w:pPr>
      <w:r w:rsidRPr="00F35592">
        <w:rPr>
          <w:rFonts w:asciiTheme="majorBidi" w:eastAsia="Times New Roman" w:hAnsiTheme="majorBidi" w:cstheme="majorBidi"/>
          <w:b/>
          <w:color w:val="000000"/>
          <w:sz w:val="24"/>
          <w:szCs w:val="24"/>
        </w:rPr>
        <w:t>Legal analysis</w:t>
      </w:r>
    </w:p>
    <w:p w14:paraId="14A881DD" w14:textId="4EE432F5" w:rsidR="00731447" w:rsidRPr="00F35592" w:rsidRDefault="00AA735D" w:rsidP="0047251A">
      <w:pPr>
        <w:pBdr>
          <w:top w:val="nil"/>
          <w:left w:val="nil"/>
          <w:bottom w:val="nil"/>
          <w:right w:val="nil"/>
          <w:between w:val="nil"/>
        </w:pBdr>
        <w:spacing w:before="200" w:after="200" w:line="269" w:lineRule="auto"/>
        <w:jc w:val="both"/>
        <w:rPr>
          <w:rFonts w:asciiTheme="majorBidi" w:eastAsia="Times New Roman" w:hAnsiTheme="majorBidi" w:cstheme="majorBidi"/>
          <w:sz w:val="24"/>
          <w:szCs w:val="24"/>
        </w:rPr>
      </w:pPr>
      <w:r w:rsidRPr="00F35592">
        <w:rPr>
          <w:rFonts w:asciiTheme="majorBidi" w:eastAsia="Times New Roman" w:hAnsiTheme="majorBidi" w:cstheme="majorBidi"/>
          <w:sz w:val="24"/>
          <w:szCs w:val="24"/>
        </w:rPr>
        <w:t>Israel’s policy and practice of revoking the residency status of Palestinians, including on punitive grounds for so-called ‘breach of allegiance’ to the State</w:t>
      </w:r>
      <w:r w:rsidR="0017786B" w:rsidRPr="00F35592">
        <w:rPr>
          <w:rFonts w:asciiTheme="majorBidi" w:eastAsia="Times New Roman" w:hAnsiTheme="majorBidi" w:cstheme="majorBidi"/>
          <w:sz w:val="24"/>
          <w:szCs w:val="24"/>
        </w:rPr>
        <w:t xml:space="preserve"> of Israel</w:t>
      </w:r>
      <w:r w:rsidRPr="00F35592">
        <w:rPr>
          <w:rFonts w:asciiTheme="majorBidi" w:eastAsia="Times New Roman" w:hAnsiTheme="majorBidi" w:cstheme="majorBidi"/>
          <w:sz w:val="24"/>
          <w:szCs w:val="24"/>
        </w:rPr>
        <w:t>, is in clear violation of its obligations under international law, including under international human rights law applicable by virtue of Israel’s effe</w:t>
      </w:r>
      <w:r w:rsidR="00F91BC5" w:rsidRPr="00F35592">
        <w:rPr>
          <w:rFonts w:asciiTheme="majorBidi" w:eastAsia="Times New Roman" w:hAnsiTheme="majorBidi" w:cstheme="majorBidi"/>
          <w:sz w:val="24"/>
          <w:szCs w:val="24"/>
        </w:rPr>
        <w:t>c</w:t>
      </w:r>
      <w:r w:rsidRPr="00F35592">
        <w:rPr>
          <w:rFonts w:asciiTheme="majorBidi" w:eastAsia="Times New Roman" w:hAnsiTheme="majorBidi" w:cstheme="majorBidi"/>
          <w:sz w:val="24"/>
          <w:szCs w:val="24"/>
        </w:rPr>
        <w:t>tive control over the Palestinian people on both s</w:t>
      </w:r>
      <w:r w:rsidR="00D01A04">
        <w:rPr>
          <w:rFonts w:asciiTheme="majorBidi" w:eastAsia="Times New Roman" w:hAnsiTheme="majorBidi" w:cstheme="majorBidi"/>
          <w:sz w:val="24"/>
          <w:szCs w:val="24"/>
        </w:rPr>
        <w:t>ides of the Green Line, and as O</w:t>
      </w:r>
      <w:r w:rsidRPr="00F35592">
        <w:rPr>
          <w:rFonts w:asciiTheme="majorBidi" w:eastAsia="Times New Roman" w:hAnsiTheme="majorBidi" w:cstheme="majorBidi"/>
          <w:sz w:val="24"/>
          <w:szCs w:val="24"/>
        </w:rPr>
        <w:t>ccupying Power, under international humanitarian law applicable to the occupied Palestinian territory, comprising the West Bank, including East Jerusalem, and the Gaza Strip.</w:t>
      </w:r>
    </w:p>
    <w:p w14:paraId="1F8ABF2C" w14:textId="05AE46AB" w:rsidR="00731447" w:rsidRPr="00F35592" w:rsidRDefault="00AA735D" w:rsidP="0047251A">
      <w:pPr>
        <w:spacing w:before="200" w:after="200" w:line="269" w:lineRule="auto"/>
        <w:jc w:val="both"/>
        <w:rPr>
          <w:rFonts w:asciiTheme="majorBidi" w:eastAsia="Times New Roman" w:hAnsiTheme="majorBidi" w:cstheme="majorBidi"/>
          <w:sz w:val="24"/>
          <w:szCs w:val="24"/>
        </w:rPr>
      </w:pPr>
      <w:r w:rsidRPr="00F35592">
        <w:rPr>
          <w:rFonts w:asciiTheme="majorBidi" w:eastAsia="Times New Roman" w:hAnsiTheme="majorBidi" w:cstheme="majorBidi"/>
          <w:sz w:val="24"/>
          <w:szCs w:val="24"/>
        </w:rPr>
        <w:t>Notably, under Article 45 of the Hague Regulations (1907), constitutive of customary international humanitarian law, it is expressly prohibited “to compel the inhabitants of occupied territory to swear allegiance to the hostile Power.” Furthermore, Article 68(3) of the Fourth Geneva Convention (1949), which is applicable in the occupied Palestinian territory, provides that “a national of the Occupying Power... is not bound to it by any duty of allegiance.” Accordingly, the criterion of ‘allegiance,’ adopted into Israeli law on 7 March 2018,</w:t>
      </w:r>
      <w:r w:rsidRPr="00F35592">
        <w:rPr>
          <w:rFonts w:asciiTheme="majorBidi" w:eastAsia="Times New Roman" w:hAnsiTheme="majorBidi" w:cstheme="majorBidi"/>
          <w:sz w:val="24"/>
          <w:szCs w:val="24"/>
          <w:vertAlign w:val="superscript"/>
        </w:rPr>
        <w:footnoteReference w:id="9"/>
      </w:r>
      <w:r w:rsidRPr="00F35592">
        <w:rPr>
          <w:rFonts w:asciiTheme="majorBidi" w:eastAsia="Times New Roman" w:hAnsiTheme="majorBidi" w:cstheme="majorBidi"/>
          <w:sz w:val="24"/>
          <w:szCs w:val="24"/>
        </w:rPr>
        <w:t xml:space="preserve"> is illegal and violates Israel’s obligations, as </w:t>
      </w:r>
      <w:r w:rsidR="00D840F3" w:rsidRPr="00F35592">
        <w:rPr>
          <w:rFonts w:asciiTheme="majorBidi" w:eastAsia="Times New Roman" w:hAnsiTheme="majorBidi" w:cstheme="majorBidi"/>
          <w:sz w:val="24"/>
          <w:szCs w:val="24"/>
        </w:rPr>
        <w:t>O</w:t>
      </w:r>
      <w:r w:rsidRPr="00F35592">
        <w:rPr>
          <w:rFonts w:asciiTheme="majorBidi" w:eastAsia="Times New Roman" w:hAnsiTheme="majorBidi" w:cstheme="majorBidi"/>
          <w:sz w:val="24"/>
          <w:szCs w:val="24"/>
        </w:rPr>
        <w:t xml:space="preserve">ccupying Power, to respect and to ensure respect for the rights of protected Palestinians in the occupied Palestinian territory. Overall, Israel’s policy of revoking Palestinians’ residency rights in East Jerusalem violates Article 43 of the Hague Regulations and Article 64 of </w:t>
      </w:r>
      <w:r w:rsidRPr="00F35592">
        <w:rPr>
          <w:rFonts w:asciiTheme="majorBidi" w:eastAsia="Times New Roman" w:hAnsiTheme="majorBidi" w:cstheme="majorBidi"/>
          <w:sz w:val="24"/>
          <w:szCs w:val="24"/>
        </w:rPr>
        <w:lastRenderedPageBreak/>
        <w:t xml:space="preserve">the Fourth Geneva Convention, which prevent the </w:t>
      </w:r>
      <w:r w:rsidR="00DF2F21" w:rsidRPr="00F35592">
        <w:rPr>
          <w:rFonts w:asciiTheme="majorBidi" w:eastAsia="Times New Roman" w:hAnsiTheme="majorBidi" w:cstheme="majorBidi"/>
          <w:sz w:val="24"/>
          <w:szCs w:val="24"/>
        </w:rPr>
        <w:t>O</w:t>
      </w:r>
      <w:r w:rsidRPr="00F35592">
        <w:rPr>
          <w:rFonts w:asciiTheme="majorBidi" w:eastAsia="Times New Roman" w:hAnsiTheme="majorBidi" w:cstheme="majorBidi"/>
          <w:sz w:val="24"/>
          <w:szCs w:val="24"/>
        </w:rPr>
        <w:t>ccupying Power from exercising sovereign rights or extending its legislation to the territory it occupies.</w:t>
      </w:r>
    </w:p>
    <w:p w14:paraId="28D4C431" w14:textId="2CD6766A" w:rsidR="00731447" w:rsidRPr="00F35592" w:rsidRDefault="00AA735D" w:rsidP="0047251A">
      <w:pPr>
        <w:spacing w:before="200" w:after="200" w:line="269" w:lineRule="auto"/>
        <w:jc w:val="both"/>
        <w:rPr>
          <w:rFonts w:asciiTheme="majorBidi" w:eastAsia="Times New Roman" w:hAnsiTheme="majorBidi" w:cstheme="majorBidi"/>
          <w:sz w:val="24"/>
          <w:szCs w:val="24"/>
        </w:rPr>
      </w:pPr>
      <w:r w:rsidRPr="00F35592">
        <w:rPr>
          <w:rFonts w:asciiTheme="majorBidi" w:eastAsia="Times New Roman" w:hAnsiTheme="majorBidi" w:cstheme="majorBidi"/>
          <w:sz w:val="24"/>
          <w:szCs w:val="24"/>
        </w:rPr>
        <w:t xml:space="preserve">Under international human rights law, binding on Israel on both sides of the Green Line, the revocation of Omar Barghouti’s residency status would result in a violation of a wide spectrum of his rights, including his right to freedom of movement and choice of residence within the borders of the State, as enshrined in Article 12(1) of the International Covenant on Civil and Political Rights (ICCPR) and Article 5(d)(i) of the International Convention on the Elimination of All Forms of Racial Discrimination (ICERD), of which Israel is a State party. Moreover, if carried out, the punitive revocation of Barghouti’s residency status would arbitrarily interfere with his right to family life, as it would separate him from his wife, a Palestinian citizen of Israel, in violation of Article 17(1) of the ICCPR, which Israel has an obligation to respect, protect, and fulfil </w:t>
      </w:r>
      <w:r w:rsidR="0017786B" w:rsidRPr="00F35592">
        <w:rPr>
          <w:rFonts w:asciiTheme="majorBidi" w:eastAsia="Times New Roman" w:hAnsiTheme="majorBidi" w:cstheme="majorBidi"/>
          <w:sz w:val="24"/>
          <w:szCs w:val="24"/>
        </w:rPr>
        <w:t>without discrimination with respect to</w:t>
      </w:r>
      <w:r w:rsidRPr="00F35592">
        <w:rPr>
          <w:rFonts w:asciiTheme="majorBidi" w:eastAsia="Times New Roman" w:hAnsiTheme="majorBidi" w:cstheme="majorBidi"/>
          <w:sz w:val="24"/>
          <w:szCs w:val="24"/>
        </w:rPr>
        <w:t xml:space="preserve"> all individuals within its territory and subject to its jurisdiction. Notably, Article 5(d)(iv) of ICERD requires Israel to prohibit and to eliminate racial discrimination in all its forms and to guarantee the right of everyone, without distinction, to enjoy the right to marriage and choice of spouse.</w:t>
      </w:r>
    </w:p>
    <w:p w14:paraId="0577510A" w14:textId="6A2DD435" w:rsidR="00731447" w:rsidRPr="00F35592" w:rsidRDefault="00DF6AA8" w:rsidP="0047251A">
      <w:pPr>
        <w:spacing w:before="200" w:after="200" w:line="269" w:lineRule="auto"/>
        <w:jc w:val="both"/>
        <w:rPr>
          <w:rFonts w:asciiTheme="majorBidi" w:eastAsia="Times New Roman" w:hAnsiTheme="majorBidi" w:cstheme="majorBidi"/>
          <w:sz w:val="24"/>
          <w:szCs w:val="24"/>
        </w:rPr>
      </w:pPr>
      <w:r w:rsidRPr="00F35592">
        <w:rPr>
          <w:rFonts w:asciiTheme="majorBidi" w:eastAsia="Times New Roman" w:hAnsiTheme="majorBidi" w:cstheme="majorBidi"/>
          <w:sz w:val="24"/>
          <w:szCs w:val="24"/>
        </w:rPr>
        <w:t>While</w:t>
      </w:r>
      <w:r w:rsidR="00AA735D" w:rsidRPr="00F35592">
        <w:rPr>
          <w:rFonts w:asciiTheme="majorBidi" w:eastAsia="Times New Roman" w:hAnsiTheme="majorBidi" w:cstheme="majorBidi"/>
          <w:sz w:val="24"/>
          <w:szCs w:val="24"/>
        </w:rPr>
        <w:t xml:space="preserve"> Israel’s residency revocation practice has </w:t>
      </w:r>
      <w:r w:rsidRPr="00F35592">
        <w:rPr>
          <w:rFonts w:asciiTheme="majorBidi" w:eastAsia="Times New Roman" w:hAnsiTheme="majorBidi" w:cstheme="majorBidi"/>
          <w:color w:val="000000"/>
          <w:sz w:val="24"/>
          <w:szCs w:val="24"/>
        </w:rPr>
        <w:t>already been used against politically active Palestinians</w:t>
      </w:r>
      <w:r w:rsidRPr="00F35592">
        <w:rPr>
          <w:rFonts w:asciiTheme="majorBidi" w:eastAsia="Times New Roman" w:hAnsiTheme="majorBidi" w:cstheme="majorBidi"/>
          <w:sz w:val="24"/>
          <w:szCs w:val="24"/>
        </w:rPr>
        <w:t>, it is now being</w:t>
      </w:r>
      <w:r w:rsidR="0017786B" w:rsidRPr="00F35592">
        <w:rPr>
          <w:rFonts w:asciiTheme="majorBidi" w:eastAsia="Times New Roman" w:hAnsiTheme="majorBidi" w:cstheme="majorBidi"/>
          <w:sz w:val="24"/>
          <w:szCs w:val="24"/>
        </w:rPr>
        <w:t xml:space="preserve"> </w:t>
      </w:r>
      <w:r w:rsidR="00AA735D" w:rsidRPr="00F35592">
        <w:rPr>
          <w:rFonts w:asciiTheme="majorBidi" w:eastAsia="Times New Roman" w:hAnsiTheme="majorBidi" w:cstheme="majorBidi"/>
          <w:sz w:val="24"/>
          <w:szCs w:val="24"/>
        </w:rPr>
        <w:t xml:space="preserve">used to threaten the residency status of Palestinians challenging Israel’s widespread and systematic human rights violations and voicing legitimate calls for justice and accountability. Accordingly, the practice not only violates the right of the Palestinian people to freedom of movement and residence, including to leave and to return to their country, but further amounts to a grave assault on Palestinians’ right to freedom of expression, as enshrined in Article 19 of the ICCPR and to freedom of peaceful assembly and of association, in line with Articles 21 and 22 of the ICCPR. This is evident in the threatened revocation of Barghouti’s residency </w:t>
      </w:r>
      <w:r w:rsidRPr="00F35592">
        <w:rPr>
          <w:rFonts w:asciiTheme="majorBidi" w:eastAsia="Times New Roman" w:hAnsiTheme="majorBidi" w:cstheme="majorBidi"/>
          <w:sz w:val="24"/>
          <w:szCs w:val="24"/>
        </w:rPr>
        <w:t>status on the basis of his work</w:t>
      </w:r>
      <w:r w:rsidR="00AA735D" w:rsidRPr="00F35592">
        <w:rPr>
          <w:rFonts w:asciiTheme="majorBidi" w:eastAsia="Times New Roman" w:hAnsiTheme="majorBidi" w:cstheme="majorBidi"/>
          <w:sz w:val="24"/>
          <w:szCs w:val="24"/>
        </w:rPr>
        <w:t xml:space="preserve"> as a human rights defender and </w:t>
      </w:r>
      <w:r w:rsidR="00060141">
        <w:rPr>
          <w:rFonts w:asciiTheme="majorBidi" w:eastAsia="Times New Roman" w:hAnsiTheme="majorBidi" w:cstheme="majorBidi"/>
          <w:sz w:val="24"/>
          <w:szCs w:val="24"/>
        </w:rPr>
        <w:t xml:space="preserve">as </w:t>
      </w:r>
      <w:r w:rsidR="00AA735D" w:rsidRPr="00F35592">
        <w:rPr>
          <w:rFonts w:asciiTheme="majorBidi" w:eastAsia="Times New Roman" w:hAnsiTheme="majorBidi" w:cstheme="majorBidi"/>
          <w:sz w:val="24"/>
          <w:szCs w:val="24"/>
        </w:rPr>
        <w:t>co-founder of the Boycott, Dive</w:t>
      </w:r>
      <w:r w:rsidRPr="00F35592">
        <w:rPr>
          <w:rFonts w:asciiTheme="majorBidi" w:eastAsia="Times New Roman" w:hAnsiTheme="majorBidi" w:cstheme="majorBidi"/>
          <w:sz w:val="24"/>
          <w:szCs w:val="24"/>
        </w:rPr>
        <w:t xml:space="preserve">stment and Sanctions </w:t>
      </w:r>
      <w:r w:rsidR="005D4D48">
        <w:rPr>
          <w:rFonts w:asciiTheme="majorBidi" w:eastAsia="Times New Roman" w:hAnsiTheme="majorBidi" w:cstheme="majorBidi"/>
          <w:sz w:val="24"/>
          <w:szCs w:val="24"/>
        </w:rPr>
        <w:t>m</w:t>
      </w:r>
      <w:r w:rsidRPr="00F35592">
        <w:rPr>
          <w:rFonts w:asciiTheme="majorBidi" w:eastAsia="Times New Roman" w:hAnsiTheme="majorBidi" w:cstheme="majorBidi"/>
          <w:sz w:val="24"/>
          <w:szCs w:val="24"/>
        </w:rPr>
        <w:t xml:space="preserve">ovement </w:t>
      </w:r>
      <w:r w:rsidR="00AA735D" w:rsidRPr="00F35592">
        <w:rPr>
          <w:rFonts w:asciiTheme="majorBidi" w:eastAsia="Times New Roman" w:hAnsiTheme="majorBidi" w:cstheme="majorBidi"/>
          <w:sz w:val="24"/>
          <w:szCs w:val="24"/>
        </w:rPr>
        <w:t>for freedom, justice</w:t>
      </w:r>
      <w:r w:rsidRPr="00F35592">
        <w:rPr>
          <w:rFonts w:asciiTheme="majorBidi" w:eastAsia="Times New Roman" w:hAnsiTheme="majorBidi" w:cstheme="majorBidi"/>
          <w:sz w:val="24"/>
          <w:szCs w:val="24"/>
        </w:rPr>
        <w:t>,</w:t>
      </w:r>
      <w:r w:rsidR="00AA735D" w:rsidRPr="00F35592">
        <w:rPr>
          <w:rFonts w:asciiTheme="majorBidi" w:eastAsia="Times New Roman" w:hAnsiTheme="majorBidi" w:cstheme="majorBidi"/>
          <w:sz w:val="24"/>
          <w:szCs w:val="24"/>
        </w:rPr>
        <w:t xml:space="preserve"> and equality, </w:t>
      </w:r>
      <w:r w:rsidR="00AA735D" w:rsidRPr="002B2421">
        <w:rPr>
          <w:rFonts w:asciiTheme="majorBidi" w:eastAsia="Times New Roman" w:hAnsiTheme="majorBidi" w:cstheme="majorBidi"/>
          <w:sz w:val="24"/>
          <w:szCs w:val="24"/>
        </w:rPr>
        <w:t xml:space="preserve">which </w:t>
      </w:r>
      <w:r w:rsidR="005D4D48" w:rsidRPr="007E48AB">
        <w:rPr>
          <w:rFonts w:asciiTheme="majorBidi" w:eastAsia="Times New Roman" w:hAnsiTheme="majorBidi" w:cstheme="majorBidi"/>
          <w:sz w:val="24"/>
          <w:szCs w:val="24"/>
        </w:rPr>
        <w:t>peacefully</w:t>
      </w:r>
      <w:r w:rsidR="005D4D48" w:rsidRPr="002B2421">
        <w:rPr>
          <w:rFonts w:asciiTheme="majorBidi" w:eastAsia="Times New Roman" w:hAnsiTheme="majorBidi" w:cstheme="majorBidi"/>
          <w:sz w:val="24"/>
          <w:szCs w:val="24"/>
        </w:rPr>
        <w:t xml:space="preserve"> </w:t>
      </w:r>
      <w:r w:rsidR="00AA735D" w:rsidRPr="002B2421">
        <w:rPr>
          <w:rFonts w:asciiTheme="majorBidi" w:eastAsia="Times New Roman" w:hAnsiTheme="majorBidi" w:cstheme="majorBidi"/>
          <w:sz w:val="24"/>
          <w:szCs w:val="24"/>
        </w:rPr>
        <w:t>challenges</w:t>
      </w:r>
      <w:r w:rsidR="00AA735D" w:rsidRPr="00F35592">
        <w:rPr>
          <w:rFonts w:asciiTheme="majorBidi" w:eastAsia="Times New Roman" w:hAnsiTheme="majorBidi" w:cstheme="majorBidi"/>
          <w:sz w:val="24"/>
          <w:szCs w:val="24"/>
        </w:rPr>
        <w:t xml:space="preserve"> Israel’s regime of </w:t>
      </w:r>
      <w:hyperlink r:id="rId12">
        <w:r w:rsidR="00AA735D" w:rsidRPr="00F35592">
          <w:rPr>
            <w:rFonts w:asciiTheme="majorBidi" w:eastAsia="Times New Roman" w:hAnsiTheme="majorBidi" w:cstheme="majorBidi"/>
            <w:sz w:val="24"/>
            <w:szCs w:val="24"/>
          </w:rPr>
          <w:t>settler colonialism, apartheid, and occupation</w:t>
        </w:r>
      </w:hyperlink>
      <w:r w:rsidR="00AA735D" w:rsidRPr="00F35592">
        <w:rPr>
          <w:rFonts w:asciiTheme="majorBidi" w:eastAsia="Times New Roman" w:hAnsiTheme="majorBidi" w:cstheme="majorBidi"/>
          <w:sz w:val="24"/>
          <w:szCs w:val="24"/>
        </w:rPr>
        <w:t xml:space="preserve"> over the Pa</w:t>
      </w:r>
      <w:r w:rsidRPr="00F35592">
        <w:rPr>
          <w:rFonts w:asciiTheme="majorBidi" w:eastAsia="Times New Roman" w:hAnsiTheme="majorBidi" w:cstheme="majorBidi"/>
          <w:sz w:val="24"/>
          <w:szCs w:val="24"/>
        </w:rPr>
        <w:t>lestinian people.</w:t>
      </w:r>
    </w:p>
    <w:p w14:paraId="4D6C99D0" w14:textId="758D37B1" w:rsidR="00731447" w:rsidRPr="00F35592" w:rsidRDefault="00AA735D" w:rsidP="0047251A">
      <w:pPr>
        <w:spacing w:before="200" w:after="200" w:line="269" w:lineRule="auto"/>
        <w:jc w:val="both"/>
        <w:rPr>
          <w:rFonts w:asciiTheme="majorBidi" w:eastAsia="Times New Roman" w:hAnsiTheme="majorBidi" w:cstheme="majorBidi"/>
          <w:sz w:val="24"/>
          <w:szCs w:val="24"/>
        </w:rPr>
      </w:pPr>
      <w:r w:rsidRPr="00F35592">
        <w:rPr>
          <w:rFonts w:asciiTheme="majorBidi" w:eastAsia="Times New Roman" w:hAnsiTheme="majorBidi" w:cstheme="majorBidi"/>
          <w:sz w:val="24"/>
          <w:szCs w:val="24"/>
        </w:rPr>
        <w:t>The UN Declaration on Human Rights Defenders enshrines, in Article 13, the right of everyone “individually and in association with others, to solicit, receive and utilize resources for the express purpose of promoting and protecting human rights and fundamental freedoms through peaceful means.” Yet, Israel has increasingly targeted human rights defenders, activists, and civil society organisations promoting the rights of the Palestinian people. As such, the</w:t>
      </w:r>
      <w:r w:rsidR="009722A0" w:rsidRPr="00F35592">
        <w:rPr>
          <w:rFonts w:asciiTheme="majorBidi" w:eastAsia="Times New Roman" w:hAnsiTheme="majorBidi" w:cstheme="majorBidi"/>
          <w:sz w:val="24"/>
          <w:szCs w:val="24"/>
        </w:rPr>
        <w:t xml:space="preserve"> threatened</w:t>
      </w:r>
      <w:r w:rsidRPr="00F35592">
        <w:rPr>
          <w:rFonts w:asciiTheme="majorBidi" w:eastAsia="Times New Roman" w:hAnsiTheme="majorBidi" w:cstheme="majorBidi"/>
          <w:sz w:val="24"/>
          <w:szCs w:val="24"/>
        </w:rPr>
        <w:t xml:space="preserve"> revocation of Barghouti’s residency status on the basis of his </w:t>
      </w:r>
      <w:r w:rsidR="009722A0" w:rsidRPr="00F35592">
        <w:rPr>
          <w:rFonts w:asciiTheme="majorBidi" w:eastAsia="Times New Roman" w:hAnsiTheme="majorBidi" w:cstheme="majorBidi"/>
          <w:sz w:val="24"/>
          <w:szCs w:val="24"/>
        </w:rPr>
        <w:t xml:space="preserve">human rights work, including his </w:t>
      </w:r>
      <w:r w:rsidRPr="00F35592">
        <w:rPr>
          <w:rFonts w:asciiTheme="majorBidi" w:eastAsia="Times New Roman" w:hAnsiTheme="majorBidi" w:cstheme="majorBidi"/>
          <w:sz w:val="24"/>
          <w:szCs w:val="24"/>
        </w:rPr>
        <w:t>calls for justice and accountability</w:t>
      </w:r>
      <w:r w:rsidR="009722A0" w:rsidRPr="00F35592">
        <w:rPr>
          <w:rFonts w:asciiTheme="majorBidi" w:eastAsia="Times New Roman" w:hAnsiTheme="majorBidi" w:cstheme="majorBidi"/>
          <w:sz w:val="24"/>
          <w:szCs w:val="24"/>
        </w:rPr>
        <w:t>,</w:t>
      </w:r>
      <w:r w:rsidRPr="00F35592">
        <w:rPr>
          <w:rFonts w:asciiTheme="majorBidi" w:eastAsia="Times New Roman" w:hAnsiTheme="majorBidi" w:cstheme="majorBidi"/>
          <w:sz w:val="24"/>
          <w:szCs w:val="24"/>
        </w:rPr>
        <w:t xml:space="preserve"> has grave implications for further repression, silencing, and intimidation by the Israeli </w:t>
      </w:r>
      <w:r w:rsidR="00F857E7">
        <w:rPr>
          <w:rFonts w:asciiTheme="majorBidi" w:eastAsia="Times New Roman" w:hAnsiTheme="majorBidi" w:cstheme="majorBidi"/>
          <w:sz w:val="24"/>
          <w:szCs w:val="24"/>
        </w:rPr>
        <w:t>G</w:t>
      </w:r>
      <w:r w:rsidRPr="00F35592">
        <w:rPr>
          <w:rFonts w:asciiTheme="majorBidi" w:eastAsia="Times New Roman" w:hAnsiTheme="majorBidi" w:cstheme="majorBidi"/>
          <w:sz w:val="24"/>
          <w:szCs w:val="24"/>
        </w:rPr>
        <w:t xml:space="preserve">overnment of anyone </w:t>
      </w:r>
      <w:r w:rsidRPr="002B2421">
        <w:rPr>
          <w:rFonts w:asciiTheme="majorBidi" w:eastAsia="Times New Roman" w:hAnsiTheme="majorBidi" w:cstheme="majorBidi"/>
          <w:sz w:val="24"/>
          <w:szCs w:val="24"/>
        </w:rPr>
        <w:t xml:space="preserve">advocating for </w:t>
      </w:r>
      <w:r w:rsidR="009722A0" w:rsidRPr="002B2421">
        <w:rPr>
          <w:rFonts w:asciiTheme="majorBidi" w:eastAsia="Times New Roman" w:hAnsiTheme="majorBidi" w:cstheme="majorBidi"/>
          <w:sz w:val="24"/>
          <w:szCs w:val="24"/>
        </w:rPr>
        <w:t xml:space="preserve">the </w:t>
      </w:r>
      <w:r w:rsidR="00713136">
        <w:rPr>
          <w:rFonts w:asciiTheme="majorBidi" w:eastAsia="Times New Roman" w:hAnsiTheme="majorBidi" w:cstheme="majorBidi"/>
          <w:sz w:val="24"/>
          <w:szCs w:val="24"/>
        </w:rPr>
        <w:t xml:space="preserve">realisation of the </w:t>
      </w:r>
      <w:r w:rsidR="00E20C59" w:rsidRPr="007E48AB">
        <w:rPr>
          <w:rFonts w:asciiTheme="majorBidi" w:eastAsia="Times New Roman" w:hAnsiTheme="majorBidi" w:cstheme="majorBidi"/>
          <w:sz w:val="24"/>
          <w:szCs w:val="24"/>
        </w:rPr>
        <w:t>UN-</w:t>
      </w:r>
      <w:r w:rsidR="002B2421" w:rsidRPr="002B2421">
        <w:rPr>
          <w:rFonts w:asciiTheme="majorBidi" w:eastAsia="Times New Roman" w:hAnsiTheme="majorBidi" w:cstheme="majorBidi"/>
          <w:sz w:val="24"/>
          <w:szCs w:val="24"/>
        </w:rPr>
        <w:t xml:space="preserve">recognised </w:t>
      </w:r>
      <w:r w:rsidR="009722A0" w:rsidRPr="002B2421">
        <w:rPr>
          <w:rFonts w:asciiTheme="majorBidi" w:eastAsia="Times New Roman" w:hAnsiTheme="majorBidi" w:cstheme="majorBidi"/>
          <w:sz w:val="24"/>
          <w:szCs w:val="24"/>
        </w:rPr>
        <w:t>rights</w:t>
      </w:r>
      <w:r w:rsidR="009722A0" w:rsidRPr="00F35592">
        <w:rPr>
          <w:rFonts w:asciiTheme="majorBidi" w:eastAsia="Times New Roman" w:hAnsiTheme="majorBidi" w:cstheme="majorBidi"/>
          <w:sz w:val="24"/>
          <w:szCs w:val="24"/>
        </w:rPr>
        <w:t xml:space="preserve"> of </w:t>
      </w:r>
      <w:r w:rsidR="00E51B54">
        <w:rPr>
          <w:rFonts w:asciiTheme="majorBidi" w:eastAsia="Times New Roman" w:hAnsiTheme="majorBidi" w:cstheme="majorBidi"/>
          <w:sz w:val="24"/>
          <w:szCs w:val="24"/>
        </w:rPr>
        <w:t>the Palestinian people</w:t>
      </w:r>
      <w:r w:rsidRPr="00F35592">
        <w:rPr>
          <w:rFonts w:asciiTheme="majorBidi" w:eastAsia="Times New Roman" w:hAnsiTheme="majorBidi" w:cstheme="majorBidi"/>
          <w:sz w:val="24"/>
          <w:szCs w:val="24"/>
        </w:rPr>
        <w:t xml:space="preserve"> and seeking to challenge Israel’s </w:t>
      </w:r>
      <w:r w:rsidR="00E51B54">
        <w:rPr>
          <w:rFonts w:asciiTheme="majorBidi" w:eastAsia="Times New Roman" w:hAnsiTheme="majorBidi" w:cstheme="majorBidi"/>
          <w:sz w:val="24"/>
          <w:szCs w:val="24"/>
        </w:rPr>
        <w:t xml:space="preserve">institutionalised </w:t>
      </w:r>
      <w:r w:rsidRPr="00F35592">
        <w:rPr>
          <w:rFonts w:asciiTheme="majorBidi" w:eastAsia="Times New Roman" w:hAnsiTheme="majorBidi" w:cstheme="majorBidi"/>
          <w:sz w:val="24"/>
          <w:szCs w:val="24"/>
        </w:rPr>
        <w:t xml:space="preserve">regime of </w:t>
      </w:r>
      <w:r w:rsidR="00E51B54">
        <w:rPr>
          <w:rFonts w:asciiTheme="majorBidi" w:eastAsia="Times New Roman" w:hAnsiTheme="majorBidi" w:cstheme="majorBidi"/>
          <w:sz w:val="24"/>
          <w:szCs w:val="24"/>
        </w:rPr>
        <w:t xml:space="preserve">racial </w:t>
      </w:r>
      <w:r w:rsidRPr="00F35592">
        <w:rPr>
          <w:rFonts w:asciiTheme="majorBidi" w:eastAsia="Times New Roman" w:hAnsiTheme="majorBidi" w:cstheme="majorBidi"/>
          <w:sz w:val="24"/>
          <w:szCs w:val="24"/>
        </w:rPr>
        <w:t xml:space="preserve">domination and oppression. Critically, Article II(f) of the 1973 Apartheid Convention includes, as an element of the crime of apartheid, the “persecution of organizations and persons, by depriving them of fundamental rights and freedoms, because they oppose </w:t>
      </w:r>
      <w:r w:rsidRPr="00F35592">
        <w:rPr>
          <w:rFonts w:asciiTheme="majorBidi" w:eastAsia="Times New Roman" w:hAnsiTheme="majorBidi" w:cstheme="majorBidi"/>
          <w:i/>
          <w:sz w:val="24"/>
          <w:szCs w:val="24"/>
        </w:rPr>
        <w:t>apartheid</w:t>
      </w:r>
      <w:r w:rsidRPr="00F35592">
        <w:rPr>
          <w:rFonts w:asciiTheme="majorBidi" w:eastAsia="Times New Roman" w:hAnsiTheme="majorBidi" w:cstheme="majorBidi"/>
          <w:sz w:val="24"/>
          <w:szCs w:val="24"/>
        </w:rPr>
        <w:t xml:space="preserve">,” whereas Article 7(2)(h) of the Rome Statute of the International Criminal Court (1998) defines the crime of apartheid as “inhumane acts... committed in the context of an institutionalized regime of systematic oppression </w:t>
      </w:r>
      <w:r w:rsidRPr="00F35592">
        <w:rPr>
          <w:rFonts w:asciiTheme="majorBidi" w:eastAsia="Times New Roman" w:hAnsiTheme="majorBidi" w:cstheme="majorBidi"/>
          <w:sz w:val="24"/>
          <w:szCs w:val="24"/>
        </w:rPr>
        <w:lastRenderedPageBreak/>
        <w:t xml:space="preserve">and domination by one racial group over any other racial group or groups and </w:t>
      </w:r>
      <w:r w:rsidRPr="00F35592">
        <w:rPr>
          <w:rFonts w:asciiTheme="majorBidi" w:eastAsia="Times New Roman" w:hAnsiTheme="majorBidi" w:cstheme="majorBidi"/>
          <w:i/>
          <w:sz w:val="24"/>
          <w:szCs w:val="24"/>
        </w:rPr>
        <w:t>committed with the intention of maintaining that regime</w:t>
      </w:r>
      <w:r w:rsidRPr="00F35592">
        <w:rPr>
          <w:rFonts w:asciiTheme="majorBidi" w:eastAsia="Times New Roman" w:hAnsiTheme="majorBidi" w:cstheme="majorBidi"/>
          <w:sz w:val="24"/>
          <w:szCs w:val="24"/>
        </w:rPr>
        <w:t xml:space="preserve">” (emphasis added). Both instruments have been ratified by the State of Palestine and are applicable </w:t>
      </w:r>
      <w:r w:rsidR="00DD7221" w:rsidRPr="00F35592">
        <w:rPr>
          <w:rFonts w:asciiTheme="majorBidi" w:eastAsia="Times New Roman" w:hAnsiTheme="majorBidi" w:cstheme="majorBidi"/>
          <w:sz w:val="24"/>
          <w:szCs w:val="24"/>
        </w:rPr>
        <w:t xml:space="preserve">with regards to Israeli policies and practices </w:t>
      </w:r>
      <w:r w:rsidRPr="00F35592">
        <w:rPr>
          <w:rFonts w:asciiTheme="majorBidi" w:eastAsia="Times New Roman" w:hAnsiTheme="majorBidi" w:cstheme="majorBidi"/>
          <w:sz w:val="24"/>
          <w:szCs w:val="24"/>
        </w:rPr>
        <w:t>in the occupied Palestinian territory.</w:t>
      </w:r>
    </w:p>
    <w:p w14:paraId="5A55AEB5" w14:textId="26CD7E0C" w:rsidR="00731447" w:rsidRPr="00F35592" w:rsidRDefault="00AA735D" w:rsidP="0047251A">
      <w:pPr>
        <w:pBdr>
          <w:top w:val="nil"/>
          <w:left w:val="nil"/>
          <w:bottom w:val="nil"/>
          <w:right w:val="nil"/>
          <w:between w:val="nil"/>
        </w:pBdr>
        <w:spacing w:before="200" w:after="200" w:line="269" w:lineRule="auto"/>
        <w:jc w:val="both"/>
        <w:rPr>
          <w:rFonts w:asciiTheme="majorBidi" w:eastAsia="Times New Roman" w:hAnsiTheme="majorBidi" w:cstheme="majorBidi"/>
          <w:sz w:val="24"/>
          <w:szCs w:val="24"/>
        </w:rPr>
      </w:pPr>
      <w:r w:rsidRPr="00F35592">
        <w:rPr>
          <w:rFonts w:asciiTheme="majorBidi" w:eastAsia="Times New Roman" w:hAnsiTheme="majorBidi" w:cstheme="majorBidi"/>
          <w:sz w:val="24"/>
          <w:szCs w:val="24"/>
        </w:rPr>
        <w:t>Critically, international criminal law further prohibits the serious crime of population transfer, including through demographic manipulation, which may amount to a crime against humanity if committed as part of a widespread and systematic attack directed against any civilian population. As such</w:t>
      </w:r>
      <w:r w:rsidR="00DD7221" w:rsidRPr="00F35592">
        <w:rPr>
          <w:rFonts w:asciiTheme="majorBidi" w:eastAsia="Times New Roman" w:hAnsiTheme="majorBidi" w:cstheme="majorBidi"/>
          <w:sz w:val="24"/>
          <w:szCs w:val="24"/>
        </w:rPr>
        <w:t>, Israel’s discriminatory residency revocation policy</w:t>
      </w:r>
      <w:r w:rsidRPr="00F35592">
        <w:rPr>
          <w:rFonts w:asciiTheme="majorBidi" w:eastAsia="Times New Roman" w:hAnsiTheme="majorBidi" w:cstheme="majorBidi"/>
          <w:sz w:val="24"/>
          <w:szCs w:val="24"/>
        </w:rPr>
        <w:t xml:space="preserve"> and practice, which primarily targets Palestinians, must be considered in light of Israel’s systematic effort to erase and replace the indigenous Palestinian people on both sides of the Green Line and as part of an </w:t>
      </w:r>
      <w:r w:rsidR="00DD7221" w:rsidRPr="00F35592">
        <w:rPr>
          <w:rFonts w:asciiTheme="majorBidi" w:eastAsia="Times New Roman" w:hAnsiTheme="majorBidi" w:cstheme="majorBidi"/>
          <w:sz w:val="24"/>
          <w:szCs w:val="24"/>
        </w:rPr>
        <w:t>institutionalised</w:t>
      </w:r>
      <w:r w:rsidRPr="00F35592">
        <w:rPr>
          <w:rFonts w:asciiTheme="majorBidi" w:eastAsia="Times New Roman" w:hAnsiTheme="majorBidi" w:cstheme="majorBidi"/>
          <w:sz w:val="24"/>
          <w:szCs w:val="24"/>
        </w:rPr>
        <w:t xml:space="preserve"> regime of systematic racial domination and oppression over the Palestinian people, which amounts to the crime of apartheid. In this context, there is an urgent need for justice and accountability for widespread and systematic human rights violations committed </w:t>
      </w:r>
      <w:r w:rsidR="00DD7221" w:rsidRPr="00F35592">
        <w:rPr>
          <w:rFonts w:asciiTheme="majorBidi" w:eastAsia="Times New Roman" w:hAnsiTheme="majorBidi" w:cstheme="majorBidi"/>
          <w:sz w:val="24"/>
          <w:szCs w:val="24"/>
        </w:rPr>
        <w:t>against the Palestinian people</w:t>
      </w:r>
      <w:r w:rsidRPr="00F35592">
        <w:rPr>
          <w:rFonts w:asciiTheme="majorBidi" w:eastAsia="Times New Roman" w:hAnsiTheme="majorBidi" w:cstheme="majorBidi"/>
          <w:sz w:val="24"/>
          <w:szCs w:val="24"/>
        </w:rPr>
        <w:t xml:space="preserve">, including the protection of </w:t>
      </w:r>
      <w:r w:rsidR="00DD7221" w:rsidRPr="00F35592">
        <w:rPr>
          <w:rFonts w:asciiTheme="majorBidi" w:eastAsia="Times New Roman" w:hAnsiTheme="majorBidi" w:cstheme="majorBidi"/>
          <w:sz w:val="24"/>
          <w:szCs w:val="24"/>
        </w:rPr>
        <w:t>human rights defenders</w:t>
      </w:r>
      <w:r w:rsidRPr="00F35592">
        <w:rPr>
          <w:rFonts w:asciiTheme="majorBidi" w:eastAsia="Times New Roman" w:hAnsiTheme="majorBidi" w:cstheme="majorBidi"/>
          <w:sz w:val="24"/>
          <w:szCs w:val="24"/>
        </w:rPr>
        <w:t xml:space="preserve"> </w:t>
      </w:r>
      <w:r w:rsidR="00DD7221" w:rsidRPr="00F35592">
        <w:rPr>
          <w:rFonts w:asciiTheme="majorBidi" w:eastAsia="Times New Roman" w:hAnsiTheme="majorBidi" w:cstheme="majorBidi"/>
          <w:sz w:val="24"/>
          <w:szCs w:val="24"/>
        </w:rPr>
        <w:t>advocating</w:t>
      </w:r>
      <w:r w:rsidRPr="00F35592">
        <w:rPr>
          <w:rFonts w:asciiTheme="majorBidi" w:eastAsia="Times New Roman" w:hAnsiTheme="majorBidi" w:cstheme="majorBidi"/>
          <w:sz w:val="24"/>
          <w:szCs w:val="24"/>
        </w:rPr>
        <w:t xml:space="preserve"> for the </w:t>
      </w:r>
      <w:r w:rsidR="00DD7221" w:rsidRPr="00F35592">
        <w:rPr>
          <w:rFonts w:asciiTheme="majorBidi" w:eastAsia="Times New Roman" w:hAnsiTheme="majorBidi" w:cstheme="majorBidi"/>
          <w:sz w:val="24"/>
          <w:szCs w:val="24"/>
        </w:rPr>
        <w:t>rights of Palestinians</w:t>
      </w:r>
      <w:r w:rsidRPr="00F35592">
        <w:rPr>
          <w:rFonts w:asciiTheme="majorBidi" w:eastAsia="Times New Roman" w:hAnsiTheme="majorBidi" w:cstheme="majorBidi"/>
          <w:sz w:val="24"/>
          <w:szCs w:val="24"/>
        </w:rPr>
        <w:t xml:space="preserve">. Accordingly, our organisations urge the relevant UN Special Procedures mandates to recognise Israel’s policy </w:t>
      </w:r>
      <w:r w:rsidR="00DD7221" w:rsidRPr="00F35592">
        <w:rPr>
          <w:rFonts w:asciiTheme="majorBidi" w:eastAsia="Times New Roman" w:hAnsiTheme="majorBidi" w:cstheme="majorBidi"/>
          <w:sz w:val="24"/>
          <w:szCs w:val="24"/>
        </w:rPr>
        <w:t xml:space="preserve">and practice </w:t>
      </w:r>
      <w:r w:rsidRPr="00F35592">
        <w:rPr>
          <w:rFonts w:asciiTheme="majorBidi" w:eastAsia="Times New Roman" w:hAnsiTheme="majorBidi" w:cstheme="majorBidi"/>
          <w:sz w:val="24"/>
          <w:szCs w:val="24"/>
        </w:rPr>
        <w:t xml:space="preserve">of residency revocation as illegal </w:t>
      </w:r>
      <w:r w:rsidR="00DD7221" w:rsidRPr="00F35592">
        <w:rPr>
          <w:rFonts w:asciiTheme="majorBidi" w:eastAsia="Times New Roman" w:hAnsiTheme="majorBidi" w:cstheme="majorBidi"/>
          <w:sz w:val="24"/>
          <w:szCs w:val="24"/>
        </w:rPr>
        <w:t>and</w:t>
      </w:r>
      <w:r w:rsidRPr="00F35592">
        <w:rPr>
          <w:rFonts w:asciiTheme="majorBidi" w:eastAsia="Times New Roman" w:hAnsiTheme="majorBidi" w:cstheme="majorBidi"/>
          <w:sz w:val="24"/>
          <w:szCs w:val="24"/>
        </w:rPr>
        <w:t xml:space="preserve"> to call on Israel to </w:t>
      </w:r>
      <w:r w:rsidR="00DD7221" w:rsidRPr="00F35592">
        <w:rPr>
          <w:rFonts w:asciiTheme="majorBidi" w:eastAsia="Times New Roman" w:hAnsiTheme="majorBidi" w:cstheme="majorBidi"/>
          <w:sz w:val="24"/>
          <w:szCs w:val="24"/>
        </w:rPr>
        <w:t>repeal</w:t>
      </w:r>
      <w:r w:rsidRPr="00F35592">
        <w:rPr>
          <w:rFonts w:asciiTheme="majorBidi" w:eastAsia="Times New Roman" w:hAnsiTheme="majorBidi" w:cstheme="majorBidi"/>
          <w:sz w:val="24"/>
          <w:szCs w:val="24"/>
        </w:rPr>
        <w:t xml:space="preserve"> its </w:t>
      </w:r>
      <w:r w:rsidR="00411CAB" w:rsidRPr="00F35592">
        <w:rPr>
          <w:rFonts w:asciiTheme="majorBidi" w:eastAsia="Times New Roman" w:hAnsiTheme="majorBidi" w:cstheme="majorBidi"/>
          <w:sz w:val="24"/>
          <w:szCs w:val="24"/>
        </w:rPr>
        <w:t>racist</w:t>
      </w:r>
      <w:r w:rsidR="00DD7221" w:rsidRPr="00F35592">
        <w:rPr>
          <w:rFonts w:asciiTheme="majorBidi" w:eastAsia="Times New Roman" w:hAnsiTheme="majorBidi" w:cstheme="majorBidi"/>
          <w:sz w:val="24"/>
          <w:szCs w:val="24"/>
        </w:rPr>
        <w:t xml:space="preserve"> </w:t>
      </w:r>
      <w:r w:rsidR="00DD7221" w:rsidRPr="00F35592">
        <w:rPr>
          <w:rFonts w:asciiTheme="majorBidi" w:eastAsia="Times New Roman" w:hAnsiTheme="majorBidi" w:cstheme="majorBidi"/>
          <w:color w:val="000000"/>
          <w:sz w:val="24"/>
          <w:szCs w:val="24"/>
        </w:rPr>
        <w:t>Entry into Israel Law, including the ‘breach of allegiance’</w:t>
      </w:r>
      <w:r w:rsidR="00DD7221" w:rsidRPr="00F35592">
        <w:rPr>
          <w:rFonts w:asciiTheme="majorBidi" w:eastAsia="Times New Roman" w:hAnsiTheme="majorBidi" w:cstheme="majorBidi"/>
          <w:sz w:val="24"/>
          <w:szCs w:val="24"/>
        </w:rPr>
        <w:t xml:space="preserve"> criterion used to </w:t>
      </w:r>
      <w:r w:rsidR="00E83D2D" w:rsidRPr="00F35592">
        <w:rPr>
          <w:rFonts w:asciiTheme="majorBidi" w:eastAsia="Times New Roman" w:hAnsiTheme="majorBidi" w:cstheme="majorBidi"/>
          <w:sz w:val="24"/>
          <w:szCs w:val="24"/>
        </w:rPr>
        <w:t>threaten</w:t>
      </w:r>
      <w:r w:rsidR="00DD7221" w:rsidRPr="00F35592">
        <w:rPr>
          <w:rFonts w:asciiTheme="majorBidi" w:eastAsia="Times New Roman" w:hAnsiTheme="majorBidi" w:cstheme="majorBidi"/>
          <w:sz w:val="24"/>
          <w:szCs w:val="24"/>
        </w:rPr>
        <w:t xml:space="preserve"> the residency rights of Palestinians</w:t>
      </w:r>
      <w:r w:rsidRPr="00F35592">
        <w:rPr>
          <w:rFonts w:asciiTheme="majorBidi" w:eastAsia="Times New Roman" w:hAnsiTheme="majorBidi" w:cstheme="majorBidi"/>
          <w:sz w:val="24"/>
          <w:szCs w:val="24"/>
        </w:rPr>
        <w:t>.</w:t>
      </w:r>
    </w:p>
    <w:p w14:paraId="241C300B" w14:textId="77777777" w:rsidR="00731447" w:rsidRPr="00F35592" w:rsidRDefault="00AA735D" w:rsidP="0047251A">
      <w:pPr>
        <w:numPr>
          <w:ilvl w:val="0"/>
          <w:numId w:val="1"/>
        </w:numPr>
        <w:pBdr>
          <w:top w:val="nil"/>
          <w:left w:val="nil"/>
          <w:bottom w:val="nil"/>
          <w:right w:val="nil"/>
          <w:between w:val="nil"/>
        </w:pBdr>
        <w:tabs>
          <w:tab w:val="left" w:pos="630"/>
        </w:tabs>
        <w:spacing w:before="200" w:after="200" w:line="269" w:lineRule="auto"/>
        <w:ind w:left="426" w:right="4" w:hanging="426"/>
        <w:rPr>
          <w:rFonts w:asciiTheme="majorBidi" w:eastAsia="Times New Roman" w:hAnsiTheme="majorBidi" w:cstheme="majorBidi"/>
          <w:b/>
          <w:sz w:val="24"/>
          <w:szCs w:val="24"/>
        </w:rPr>
      </w:pPr>
      <w:r w:rsidRPr="00F35592">
        <w:rPr>
          <w:rFonts w:asciiTheme="majorBidi" w:eastAsia="Times New Roman" w:hAnsiTheme="majorBidi" w:cstheme="majorBidi"/>
          <w:b/>
          <w:color w:val="000000"/>
          <w:sz w:val="24"/>
          <w:szCs w:val="24"/>
        </w:rPr>
        <w:t xml:space="preserve">Conclusions and </w:t>
      </w:r>
      <w:r w:rsidRPr="00F35592">
        <w:rPr>
          <w:rFonts w:asciiTheme="majorBidi" w:eastAsia="Times New Roman" w:hAnsiTheme="majorBidi" w:cstheme="majorBidi"/>
          <w:b/>
          <w:sz w:val="24"/>
          <w:szCs w:val="24"/>
        </w:rPr>
        <w:t>Recommendations</w:t>
      </w:r>
    </w:p>
    <w:p w14:paraId="686BEB1D" w14:textId="0DB3F5A1" w:rsidR="00731447" w:rsidRPr="00F35592" w:rsidRDefault="00D91B1F" w:rsidP="0047251A">
      <w:pPr>
        <w:pBdr>
          <w:top w:val="nil"/>
          <w:left w:val="nil"/>
          <w:bottom w:val="nil"/>
          <w:right w:val="nil"/>
          <w:between w:val="nil"/>
        </w:pBdr>
        <w:spacing w:before="200" w:after="200" w:line="269" w:lineRule="auto"/>
        <w:jc w:val="both"/>
        <w:rPr>
          <w:rFonts w:asciiTheme="majorBidi" w:eastAsia="Times New Roman" w:hAnsiTheme="majorBidi" w:cstheme="majorBidi"/>
          <w:color w:val="000000"/>
          <w:sz w:val="24"/>
          <w:szCs w:val="24"/>
        </w:rPr>
      </w:pPr>
      <w:r w:rsidRPr="00F35592">
        <w:rPr>
          <w:rFonts w:asciiTheme="majorBidi" w:eastAsia="Times New Roman" w:hAnsiTheme="majorBidi" w:cstheme="majorBidi"/>
          <w:color w:val="000000"/>
          <w:sz w:val="24"/>
          <w:szCs w:val="24"/>
        </w:rPr>
        <w:t>In light of the above</w:t>
      </w:r>
      <w:r w:rsidR="00AA735D" w:rsidRPr="00F35592">
        <w:rPr>
          <w:rFonts w:asciiTheme="majorBidi" w:eastAsia="Times New Roman" w:hAnsiTheme="majorBidi" w:cstheme="majorBidi"/>
          <w:color w:val="000000"/>
          <w:sz w:val="24"/>
          <w:szCs w:val="24"/>
        </w:rPr>
        <w:t xml:space="preserve">, </w:t>
      </w:r>
      <w:r w:rsidR="00E25A16" w:rsidRPr="00F35592">
        <w:rPr>
          <w:rFonts w:asciiTheme="majorBidi" w:eastAsia="Times New Roman" w:hAnsiTheme="majorBidi" w:cstheme="majorBidi"/>
          <w:color w:val="000000"/>
          <w:sz w:val="24"/>
          <w:szCs w:val="24"/>
        </w:rPr>
        <w:t>our organisations</w:t>
      </w:r>
      <w:r w:rsidR="00AA735D" w:rsidRPr="00F35592">
        <w:rPr>
          <w:rFonts w:asciiTheme="majorBidi" w:eastAsia="Times New Roman" w:hAnsiTheme="majorBidi" w:cstheme="majorBidi"/>
          <w:color w:val="000000"/>
          <w:sz w:val="24"/>
          <w:szCs w:val="24"/>
        </w:rPr>
        <w:t xml:space="preserve"> submit this urgent appeal for the immediate intervention of the relevant UN Special Procedures mandates and </w:t>
      </w:r>
      <w:r w:rsidR="005F4F5A">
        <w:rPr>
          <w:rFonts w:asciiTheme="majorBidi" w:eastAsia="Times New Roman" w:hAnsiTheme="majorBidi" w:cstheme="majorBidi"/>
          <w:color w:val="000000"/>
          <w:sz w:val="24"/>
          <w:szCs w:val="24"/>
        </w:rPr>
        <w:t>urge</w:t>
      </w:r>
      <w:r w:rsidR="00AA735D" w:rsidRPr="00F35592">
        <w:rPr>
          <w:rFonts w:asciiTheme="majorBidi" w:eastAsia="Times New Roman" w:hAnsiTheme="majorBidi" w:cstheme="majorBidi"/>
          <w:color w:val="000000"/>
          <w:sz w:val="24"/>
          <w:szCs w:val="24"/>
        </w:rPr>
        <w:t xml:space="preserve"> them to:</w:t>
      </w:r>
    </w:p>
    <w:p w14:paraId="0F279E91" w14:textId="6FDE1F03" w:rsidR="00731447" w:rsidRPr="00F35592" w:rsidRDefault="000261E7" w:rsidP="0047251A">
      <w:pPr>
        <w:pStyle w:val="ListParagraph"/>
        <w:numPr>
          <w:ilvl w:val="0"/>
          <w:numId w:val="13"/>
        </w:numPr>
        <w:pBdr>
          <w:top w:val="nil"/>
          <w:left w:val="nil"/>
          <w:bottom w:val="nil"/>
          <w:right w:val="nil"/>
          <w:between w:val="nil"/>
        </w:pBdr>
        <w:spacing w:before="200" w:after="200" w:line="269" w:lineRule="auto"/>
        <w:ind w:left="990" w:hanging="540"/>
        <w:contextualSpacing w:val="0"/>
        <w:jc w:val="both"/>
        <w:rPr>
          <w:rFonts w:asciiTheme="majorBidi" w:eastAsia="Times New Roman" w:hAnsiTheme="majorBidi" w:cstheme="majorBidi"/>
          <w:color w:val="000000"/>
          <w:sz w:val="24"/>
          <w:szCs w:val="24"/>
        </w:rPr>
      </w:pPr>
      <w:r w:rsidRPr="00F35592">
        <w:rPr>
          <w:rFonts w:asciiTheme="majorBidi" w:eastAsia="Times New Roman" w:hAnsiTheme="majorBidi" w:cstheme="majorBidi"/>
          <w:color w:val="000000"/>
          <w:sz w:val="24"/>
          <w:szCs w:val="24"/>
        </w:rPr>
        <w:t>Call on the Israeli Government to</w:t>
      </w:r>
      <w:r w:rsidR="00AA735D" w:rsidRPr="00F35592">
        <w:rPr>
          <w:rFonts w:asciiTheme="majorBidi" w:eastAsia="Times New Roman" w:hAnsiTheme="majorBidi" w:cstheme="majorBidi"/>
          <w:color w:val="000000"/>
          <w:sz w:val="24"/>
          <w:szCs w:val="24"/>
        </w:rPr>
        <w:t xml:space="preserve"> </w:t>
      </w:r>
      <w:r w:rsidRPr="00F35592">
        <w:rPr>
          <w:rFonts w:asciiTheme="majorBidi" w:eastAsia="Times New Roman" w:hAnsiTheme="majorBidi" w:cstheme="majorBidi"/>
          <w:color w:val="000000"/>
          <w:sz w:val="24"/>
          <w:szCs w:val="24"/>
        </w:rPr>
        <w:t>halt</w:t>
      </w:r>
      <w:r w:rsidR="00AA735D" w:rsidRPr="00F35592">
        <w:rPr>
          <w:rFonts w:asciiTheme="majorBidi" w:eastAsia="Times New Roman" w:hAnsiTheme="majorBidi" w:cstheme="majorBidi"/>
          <w:color w:val="000000"/>
          <w:sz w:val="24"/>
          <w:szCs w:val="24"/>
        </w:rPr>
        <w:t xml:space="preserve"> </w:t>
      </w:r>
      <w:r w:rsidRPr="00F35592">
        <w:rPr>
          <w:rFonts w:asciiTheme="majorBidi" w:eastAsia="Times New Roman" w:hAnsiTheme="majorBidi" w:cstheme="majorBidi"/>
          <w:color w:val="000000"/>
          <w:sz w:val="24"/>
          <w:szCs w:val="24"/>
        </w:rPr>
        <w:t>legal proceedings</w:t>
      </w:r>
      <w:r w:rsidR="00AA735D" w:rsidRPr="00F35592">
        <w:rPr>
          <w:rFonts w:asciiTheme="majorBidi" w:eastAsia="Times New Roman" w:hAnsiTheme="majorBidi" w:cstheme="majorBidi"/>
          <w:color w:val="000000"/>
          <w:sz w:val="24"/>
          <w:szCs w:val="24"/>
        </w:rPr>
        <w:t xml:space="preserve"> </w:t>
      </w:r>
      <w:r w:rsidRPr="00F35592">
        <w:rPr>
          <w:rFonts w:asciiTheme="majorBidi" w:eastAsia="Times New Roman" w:hAnsiTheme="majorBidi" w:cstheme="majorBidi"/>
          <w:color w:val="000000"/>
          <w:sz w:val="24"/>
          <w:szCs w:val="24"/>
        </w:rPr>
        <w:t xml:space="preserve">for the </w:t>
      </w:r>
      <w:r w:rsidR="00AA735D" w:rsidRPr="00F35592">
        <w:rPr>
          <w:rFonts w:asciiTheme="majorBidi" w:eastAsia="Times New Roman" w:hAnsiTheme="majorBidi" w:cstheme="majorBidi"/>
          <w:color w:val="000000"/>
          <w:sz w:val="24"/>
          <w:szCs w:val="24"/>
        </w:rPr>
        <w:t>revocation of Omar Barghouti’s residency status</w:t>
      </w:r>
      <w:r w:rsidRPr="00F35592">
        <w:rPr>
          <w:rFonts w:asciiTheme="majorBidi" w:eastAsia="Times New Roman" w:hAnsiTheme="majorBidi" w:cstheme="majorBidi"/>
          <w:color w:val="000000"/>
          <w:sz w:val="24"/>
          <w:szCs w:val="24"/>
        </w:rPr>
        <w:t>, whether</w:t>
      </w:r>
      <w:r w:rsidR="00AA735D" w:rsidRPr="00F35592">
        <w:rPr>
          <w:rFonts w:asciiTheme="majorBidi" w:eastAsia="Times New Roman" w:hAnsiTheme="majorBidi" w:cstheme="majorBidi"/>
          <w:color w:val="000000"/>
          <w:sz w:val="24"/>
          <w:szCs w:val="24"/>
        </w:rPr>
        <w:t xml:space="preserve"> on the basis of ‘breach of allegiance’ or on </w:t>
      </w:r>
      <w:r w:rsidRPr="00F35592">
        <w:rPr>
          <w:rFonts w:asciiTheme="majorBidi" w:eastAsia="Times New Roman" w:hAnsiTheme="majorBidi" w:cstheme="majorBidi"/>
          <w:color w:val="000000"/>
          <w:sz w:val="24"/>
          <w:szCs w:val="24"/>
        </w:rPr>
        <w:t>any other ground</w:t>
      </w:r>
      <w:r w:rsidR="00AA735D" w:rsidRPr="00F35592">
        <w:rPr>
          <w:rFonts w:asciiTheme="majorBidi" w:eastAsia="Times New Roman" w:hAnsiTheme="majorBidi" w:cstheme="majorBidi"/>
          <w:color w:val="000000"/>
          <w:sz w:val="24"/>
          <w:szCs w:val="24"/>
        </w:rPr>
        <w:t xml:space="preserve">, which, if carried out, will result in violations of his </w:t>
      </w:r>
      <w:r w:rsidR="00AA735D" w:rsidRPr="002B2421">
        <w:rPr>
          <w:rFonts w:asciiTheme="majorBidi" w:eastAsia="Times New Roman" w:hAnsiTheme="majorBidi" w:cstheme="majorBidi"/>
          <w:color w:val="000000"/>
          <w:sz w:val="24"/>
          <w:szCs w:val="24"/>
        </w:rPr>
        <w:t xml:space="preserve">rights </w:t>
      </w:r>
      <w:r w:rsidR="00E20C59" w:rsidRPr="007E48AB">
        <w:rPr>
          <w:rFonts w:asciiTheme="majorBidi" w:eastAsia="Times New Roman" w:hAnsiTheme="majorBidi" w:cstheme="majorBidi"/>
          <w:color w:val="000000"/>
          <w:sz w:val="24"/>
          <w:szCs w:val="24"/>
        </w:rPr>
        <w:t>to</w:t>
      </w:r>
      <w:r w:rsidR="00E20C59" w:rsidRPr="002B2421">
        <w:rPr>
          <w:rFonts w:asciiTheme="majorBidi" w:eastAsia="Times New Roman" w:hAnsiTheme="majorBidi" w:cstheme="majorBidi"/>
          <w:color w:val="000000"/>
          <w:sz w:val="24"/>
          <w:szCs w:val="24"/>
        </w:rPr>
        <w:t xml:space="preserve"> </w:t>
      </w:r>
      <w:r w:rsidR="00AA735D" w:rsidRPr="002B2421">
        <w:rPr>
          <w:rFonts w:asciiTheme="majorBidi" w:eastAsia="Times New Roman" w:hAnsiTheme="majorBidi" w:cstheme="majorBidi"/>
          <w:color w:val="000000"/>
          <w:sz w:val="24"/>
          <w:szCs w:val="24"/>
        </w:rPr>
        <w:t>freedom</w:t>
      </w:r>
      <w:r w:rsidR="00AA735D" w:rsidRPr="00F35592">
        <w:rPr>
          <w:rFonts w:asciiTheme="majorBidi" w:eastAsia="Times New Roman" w:hAnsiTheme="majorBidi" w:cstheme="majorBidi"/>
          <w:color w:val="000000"/>
          <w:sz w:val="24"/>
          <w:szCs w:val="24"/>
        </w:rPr>
        <w:t xml:space="preserve"> of movement and residence, </w:t>
      </w:r>
      <w:r w:rsidRPr="00F35592">
        <w:rPr>
          <w:rFonts w:asciiTheme="majorBidi" w:eastAsia="Times New Roman" w:hAnsiTheme="majorBidi" w:cstheme="majorBidi"/>
          <w:color w:val="000000"/>
          <w:sz w:val="24"/>
          <w:szCs w:val="24"/>
        </w:rPr>
        <w:t>freedom of expression, and freedom of association</w:t>
      </w:r>
      <w:r w:rsidR="00411CAB" w:rsidRPr="00F35592">
        <w:rPr>
          <w:rFonts w:asciiTheme="majorBidi" w:eastAsia="Times New Roman" w:hAnsiTheme="majorBidi" w:cstheme="majorBidi"/>
          <w:color w:val="000000"/>
          <w:sz w:val="24"/>
          <w:szCs w:val="24"/>
        </w:rPr>
        <w:t xml:space="preserve">, and would contribute to </w:t>
      </w:r>
      <w:r w:rsidR="00FD35FF">
        <w:rPr>
          <w:rFonts w:asciiTheme="majorBidi" w:eastAsia="Times New Roman" w:hAnsiTheme="majorBidi" w:cstheme="majorBidi"/>
          <w:color w:val="000000"/>
          <w:sz w:val="24"/>
          <w:szCs w:val="24"/>
        </w:rPr>
        <w:t>Israel’s</w:t>
      </w:r>
      <w:r w:rsidR="00411CAB" w:rsidRPr="00F35592">
        <w:rPr>
          <w:rFonts w:asciiTheme="majorBidi" w:eastAsia="Times New Roman" w:hAnsiTheme="majorBidi" w:cstheme="majorBidi"/>
          <w:color w:val="000000"/>
          <w:sz w:val="24"/>
          <w:szCs w:val="24"/>
        </w:rPr>
        <w:t xml:space="preserve"> commission of the serious crime of population transfer under international law</w:t>
      </w:r>
      <w:bookmarkStart w:id="2" w:name="_ok85naryg9tj" w:colFirst="0" w:colLast="0"/>
      <w:bookmarkStart w:id="3" w:name="_j7ivyj7a2op7" w:colFirst="0" w:colLast="0"/>
      <w:bookmarkStart w:id="4" w:name="_ip270pjgy5rk" w:colFirst="0" w:colLast="0"/>
      <w:bookmarkStart w:id="5" w:name="_tfqe55gotn97" w:colFirst="0" w:colLast="0"/>
      <w:bookmarkStart w:id="6" w:name="_j6mcg8ozo6gg" w:colFirst="0" w:colLast="0"/>
      <w:bookmarkEnd w:id="2"/>
      <w:bookmarkEnd w:id="3"/>
      <w:bookmarkEnd w:id="4"/>
      <w:bookmarkEnd w:id="5"/>
      <w:bookmarkEnd w:id="6"/>
      <w:r w:rsidR="00411CAB" w:rsidRPr="00F35592">
        <w:rPr>
          <w:rFonts w:asciiTheme="majorBidi" w:eastAsia="Times New Roman" w:hAnsiTheme="majorBidi" w:cstheme="majorBidi"/>
          <w:color w:val="000000"/>
          <w:sz w:val="24"/>
          <w:szCs w:val="24"/>
        </w:rPr>
        <w:t>;</w:t>
      </w:r>
    </w:p>
    <w:p w14:paraId="7DFACAC8" w14:textId="3758B133" w:rsidR="00731447" w:rsidRPr="00F35592" w:rsidRDefault="00AA735D" w:rsidP="0047251A">
      <w:pPr>
        <w:pStyle w:val="ListParagraph"/>
        <w:numPr>
          <w:ilvl w:val="0"/>
          <w:numId w:val="13"/>
        </w:numPr>
        <w:pBdr>
          <w:top w:val="nil"/>
          <w:left w:val="nil"/>
          <w:bottom w:val="nil"/>
          <w:right w:val="nil"/>
          <w:between w:val="nil"/>
        </w:pBdr>
        <w:spacing w:before="200" w:after="200" w:line="269" w:lineRule="auto"/>
        <w:ind w:left="990" w:hanging="540"/>
        <w:contextualSpacing w:val="0"/>
        <w:jc w:val="both"/>
        <w:rPr>
          <w:rFonts w:asciiTheme="majorBidi" w:eastAsia="Times New Roman" w:hAnsiTheme="majorBidi" w:cstheme="majorBidi"/>
          <w:color w:val="000000"/>
          <w:sz w:val="24"/>
          <w:szCs w:val="24"/>
        </w:rPr>
      </w:pPr>
      <w:r w:rsidRPr="00F35592">
        <w:rPr>
          <w:rFonts w:asciiTheme="majorBidi" w:eastAsia="Times New Roman" w:hAnsiTheme="majorBidi" w:cstheme="majorBidi"/>
          <w:color w:val="000000"/>
          <w:sz w:val="24"/>
          <w:szCs w:val="24"/>
        </w:rPr>
        <w:t xml:space="preserve">Call on Israel to immediately </w:t>
      </w:r>
      <w:r w:rsidR="000261E7" w:rsidRPr="00F35592">
        <w:rPr>
          <w:rFonts w:asciiTheme="majorBidi" w:eastAsia="Times New Roman" w:hAnsiTheme="majorBidi" w:cstheme="majorBidi"/>
          <w:color w:val="000000"/>
          <w:sz w:val="24"/>
          <w:szCs w:val="24"/>
        </w:rPr>
        <w:t>repeal</w:t>
      </w:r>
      <w:r w:rsidRPr="00F35592">
        <w:rPr>
          <w:rFonts w:asciiTheme="majorBidi" w:eastAsia="Times New Roman" w:hAnsiTheme="majorBidi" w:cstheme="majorBidi"/>
          <w:color w:val="000000"/>
          <w:sz w:val="24"/>
          <w:szCs w:val="24"/>
        </w:rPr>
        <w:t xml:space="preserve"> its </w:t>
      </w:r>
      <w:r w:rsidR="000261E7" w:rsidRPr="00F35592">
        <w:rPr>
          <w:rFonts w:asciiTheme="majorBidi" w:eastAsia="Times New Roman" w:hAnsiTheme="majorBidi" w:cstheme="majorBidi"/>
          <w:color w:val="000000"/>
          <w:sz w:val="24"/>
          <w:szCs w:val="24"/>
        </w:rPr>
        <w:t xml:space="preserve">racist </w:t>
      </w:r>
      <w:r w:rsidRPr="00F35592">
        <w:rPr>
          <w:rFonts w:asciiTheme="majorBidi" w:eastAsia="Times New Roman" w:hAnsiTheme="majorBidi" w:cstheme="majorBidi"/>
          <w:color w:val="000000"/>
          <w:sz w:val="24"/>
          <w:szCs w:val="24"/>
        </w:rPr>
        <w:t>Entry into Israel Law, which has been used to systematically violate the right of Palestinian</w:t>
      </w:r>
      <w:r w:rsidR="000261E7" w:rsidRPr="00F35592">
        <w:rPr>
          <w:rFonts w:asciiTheme="majorBidi" w:eastAsia="Times New Roman" w:hAnsiTheme="majorBidi" w:cstheme="majorBidi"/>
          <w:color w:val="000000"/>
          <w:sz w:val="24"/>
          <w:szCs w:val="24"/>
        </w:rPr>
        <w:t>s</w:t>
      </w:r>
      <w:r w:rsidR="00FD35FF">
        <w:rPr>
          <w:rFonts w:asciiTheme="majorBidi" w:eastAsia="Times New Roman" w:hAnsiTheme="majorBidi" w:cstheme="majorBidi"/>
          <w:color w:val="000000"/>
          <w:sz w:val="24"/>
          <w:szCs w:val="24"/>
        </w:rPr>
        <w:t>, including human rights defenders,</w:t>
      </w:r>
      <w:r w:rsidRPr="00F35592">
        <w:rPr>
          <w:rFonts w:asciiTheme="majorBidi" w:eastAsia="Times New Roman" w:hAnsiTheme="majorBidi" w:cstheme="majorBidi"/>
          <w:color w:val="000000"/>
          <w:sz w:val="24"/>
          <w:szCs w:val="24"/>
        </w:rPr>
        <w:t xml:space="preserve"> to freedom of movement and residence, including </w:t>
      </w:r>
      <w:r w:rsidR="008772C0" w:rsidRPr="00F35592">
        <w:rPr>
          <w:rFonts w:asciiTheme="majorBidi" w:eastAsia="Times New Roman" w:hAnsiTheme="majorBidi" w:cstheme="majorBidi"/>
          <w:color w:val="000000"/>
          <w:sz w:val="24"/>
          <w:szCs w:val="24"/>
        </w:rPr>
        <w:t xml:space="preserve">the right </w:t>
      </w:r>
      <w:r w:rsidRPr="00F35592">
        <w:rPr>
          <w:rFonts w:asciiTheme="majorBidi" w:eastAsia="Times New Roman" w:hAnsiTheme="majorBidi" w:cstheme="majorBidi"/>
          <w:color w:val="000000"/>
          <w:sz w:val="24"/>
          <w:szCs w:val="24"/>
        </w:rPr>
        <w:t>to le</w:t>
      </w:r>
      <w:r w:rsidR="00411CAB" w:rsidRPr="00F35592">
        <w:rPr>
          <w:rFonts w:asciiTheme="majorBidi" w:eastAsia="Times New Roman" w:hAnsiTheme="majorBidi" w:cstheme="majorBidi"/>
          <w:color w:val="000000"/>
          <w:sz w:val="24"/>
          <w:szCs w:val="24"/>
        </w:rPr>
        <w:t>ave their country and to return; and</w:t>
      </w:r>
    </w:p>
    <w:p w14:paraId="50505671" w14:textId="6092B5C9" w:rsidR="00646F68" w:rsidRPr="007E48AB" w:rsidRDefault="00411CAB" w:rsidP="0047251A">
      <w:pPr>
        <w:pStyle w:val="ListParagraph"/>
        <w:numPr>
          <w:ilvl w:val="0"/>
          <w:numId w:val="13"/>
        </w:numPr>
        <w:pBdr>
          <w:top w:val="nil"/>
          <w:left w:val="nil"/>
          <w:bottom w:val="nil"/>
          <w:right w:val="nil"/>
          <w:between w:val="nil"/>
        </w:pBdr>
        <w:spacing w:before="200" w:after="200" w:line="269" w:lineRule="auto"/>
        <w:ind w:left="990" w:hanging="540"/>
        <w:contextualSpacing w:val="0"/>
        <w:jc w:val="both"/>
        <w:rPr>
          <w:rFonts w:asciiTheme="majorBidi" w:eastAsia="Times New Roman" w:hAnsiTheme="majorBidi" w:cstheme="majorBidi"/>
          <w:color w:val="000000"/>
          <w:sz w:val="24"/>
          <w:szCs w:val="24"/>
        </w:rPr>
      </w:pPr>
      <w:r w:rsidRPr="00F35592">
        <w:rPr>
          <w:rFonts w:asciiTheme="majorBidi" w:eastAsia="Times New Roman" w:hAnsiTheme="majorBidi" w:cstheme="majorBidi"/>
          <w:color w:val="000000"/>
          <w:sz w:val="24"/>
          <w:szCs w:val="24"/>
        </w:rPr>
        <w:t xml:space="preserve">Call for international justice and accountability for </w:t>
      </w:r>
      <w:r w:rsidR="008772C0" w:rsidRPr="00F35592">
        <w:rPr>
          <w:rFonts w:asciiTheme="majorBidi" w:eastAsia="Times New Roman" w:hAnsiTheme="majorBidi" w:cstheme="majorBidi"/>
          <w:color w:val="000000"/>
          <w:sz w:val="24"/>
          <w:szCs w:val="24"/>
        </w:rPr>
        <w:t xml:space="preserve">the </w:t>
      </w:r>
      <w:r w:rsidRPr="00F35592">
        <w:rPr>
          <w:rFonts w:asciiTheme="majorBidi" w:eastAsia="Times New Roman" w:hAnsiTheme="majorBidi" w:cstheme="majorBidi"/>
          <w:color w:val="000000"/>
          <w:sz w:val="24"/>
          <w:szCs w:val="24"/>
        </w:rPr>
        <w:t>widespread and systematic human rights violations committed against the Palestinian people</w:t>
      </w:r>
      <w:r w:rsidR="008772C0" w:rsidRPr="00F35592">
        <w:rPr>
          <w:rFonts w:asciiTheme="majorBidi" w:eastAsia="Times New Roman" w:hAnsiTheme="majorBidi" w:cstheme="majorBidi"/>
          <w:color w:val="000000"/>
          <w:sz w:val="24"/>
          <w:szCs w:val="24"/>
        </w:rPr>
        <w:t xml:space="preserve"> and </w:t>
      </w:r>
      <w:r w:rsidRPr="00F35592">
        <w:rPr>
          <w:rFonts w:asciiTheme="majorBidi" w:eastAsia="Times New Roman" w:hAnsiTheme="majorBidi" w:cstheme="majorBidi"/>
          <w:color w:val="000000"/>
          <w:sz w:val="24"/>
          <w:szCs w:val="24"/>
        </w:rPr>
        <w:t>urg</w:t>
      </w:r>
      <w:r w:rsidR="008772C0" w:rsidRPr="00F35592">
        <w:rPr>
          <w:rFonts w:asciiTheme="majorBidi" w:eastAsia="Times New Roman" w:hAnsiTheme="majorBidi" w:cstheme="majorBidi"/>
          <w:color w:val="000000"/>
          <w:sz w:val="24"/>
          <w:szCs w:val="24"/>
        </w:rPr>
        <w:t>e</w:t>
      </w:r>
      <w:r w:rsidRPr="00F35592">
        <w:rPr>
          <w:rFonts w:asciiTheme="majorBidi" w:eastAsia="Times New Roman" w:hAnsiTheme="majorBidi" w:cstheme="majorBidi"/>
          <w:color w:val="000000"/>
          <w:sz w:val="24"/>
          <w:szCs w:val="24"/>
        </w:rPr>
        <w:t xml:space="preserve"> the Office of the Prosecutor of the International Criminal Court </w:t>
      </w:r>
      <w:r w:rsidR="00FD35FF">
        <w:rPr>
          <w:rFonts w:asciiTheme="majorBidi" w:eastAsia="Times New Roman" w:hAnsiTheme="majorBidi" w:cstheme="majorBidi"/>
          <w:color w:val="000000"/>
          <w:sz w:val="24"/>
          <w:szCs w:val="24"/>
        </w:rPr>
        <w:t xml:space="preserve">(ICC) </w:t>
      </w:r>
      <w:r w:rsidRPr="00F35592">
        <w:rPr>
          <w:rFonts w:asciiTheme="majorBidi" w:eastAsia="Times New Roman" w:hAnsiTheme="majorBidi" w:cstheme="majorBidi"/>
          <w:color w:val="000000"/>
          <w:sz w:val="24"/>
          <w:szCs w:val="24"/>
        </w:rPr>
        <w:t>to open an investigation into the situation in Palestine, without any further delay.</w:t>
      </w:r>
      <w:bookmarkStart w:id="7" w:name="_8hsy0c9tedyf" w:colFirst="0" w:colLast="0"/>
      <w:bookmarkStart w:id="8" w:name="_heghrrumpoxm" w:colFirst="0" w:colLast="0"/>
      <w:bookmarkEnd w:id="7"/>
      <w:bookmarkEnd w:id="8"/>
      <w:r w:rsidR="00646F68" w:rsidRPr="007E48AB">
        <w:rPr>
          <w:rFonts w:asciiTheme="majorBidi" w:eastAsia="Times New Roman" w:hAnsiTheme="majorBidi" w:cstheme="majorBidi"/>
          <w:color w:val="000000"/>
          <w:sz w:val="24"/>
          <w:szCs w:val="24"/>
        </w:rPr>
        <w:br w:type="page"/>
      </w:r>
    </w:p>
    <w:p w14:paraId="0B3A7134" w14:textId="49D5B7D0" w:rsidR="00731447" w:rsidRPr="00F35592" w:rsidRDefault="00AA735D" w:rsidP="0047251A">
      <w:pPr>
        <w:pBdr>
          <w:top w:val="nil"/>
          <w:left w:val="nil"/>
          <w:bottom w:val="nil"/>
          <w:right w:val="nil"/>
          <w:between w:val="nil"/>
        </w:pBdr>
        <w:spacing w:before="200" w:after="200" w:line="269" w:lineRule="auto"/>
        <w:jc w:val="both"/>
        <w:rPr>
          <w:rFonts w:asciiTheme="majorBidi" w:eastAsia="Times New Roman" w:hAnsiTheme="majorBidi" w:cstheme="majorBidi"/>
          <w:b/>
          <w:bCs/>
          <w:color w:val="000000"/>
          <w:sz w:val="24"/>
          <w:szCs w:val="24"/>
        </w:rPr>
      </w:pPr>
      <w:r w:rsidRPr="00F35592">
        <w:rPr>
          <w:rFonts w:asciiTheme="majorBidi" w:eastAsia="Times New Roman" w:hAnsiTheme="majorBidi" w:cstheme="majorBidi"/>
          <w:b/>
          <w:bCs/>
          <w:color w:val="000000"/>
          <w:sz w:val="24"/>
          <w:szCs w:val="24"/>
        </w:rPr>
        <w:lastRenderedPageBreak/>
        <w:t xml:space="preserve">Annex 1: </w:t>
      </w:r>
      <w:r w:rsidR="00646F68" w:rsidRPr="00F35592">
        <w:rPr>
          <w:rFonts w:asciiTheme="majorBidi" w:eastAsia="Times New Roman" w:hAnsiTheme="majorBidi" w:cstheme="majorBidi"/>
          <w:b/>
          <w:bCs/>
          <w:color w:val="000000"/>
          <w:sz w:val="24"/>
          <w:szCs w:val="24"/>
        </w:rPr>
        <w:t xml:space="preserve">Response by Israel’s </w:t>
      </w:r>
      <w:r w:rsidRPr="00F35592">
        <w:rPr>
          <w:rFonts w:asciiTheme="majorBidi" w:eastAsia="Times New Roman" w:hAnsiTheme="majorBidi" w:cstheme="majorBidi"/>
          <w:b/>
          <w:bCs/>
          <w:color w:val="000000"/>
          <w:sz w:val="24"/>
          <w:szCs w:val="24"/>
        </w:rPr>
        <w:t xml:space="preserve">Attorney-General to </w:t>
      </w:r>
      <w:r w:rsidR="00646F68" w:rsidRPr="00F35592">
        <w:rPr>
          <w:rFonts w:asciiTheme="majorBidi" w:eastAsia="Times New Roman" w:hAnsiTheme="majorBidi" w:cstheme="majorBidi"/>
          <w:b/>
          <w:bCs/>
          <w:color w:val="000000"/>
          <w:sz w:val="24"/>
          <w:szCs w:val="24"/>
        </w:rPr>
        <w:t xml:space="preserve">the Ministry of </w:t>
      </w:r>
      <w:r w:rsidRPr="00F35592">
        <w:rPr>
          <w:rFonts w:asciiTheme="majorBidi" w:eastAsia="Times New Roman" w:hAnsiTheme="majorBidi" w:cstheme="majorBidi"/>
          <w:b/>
          <w:bCs/>
          <w:color w:val="000000"/>
          <w:sz w:val="24"/>
          <w:szCs w:val="24"/>
        </w:rPr>
        <w:t>I</w:t>
      </w:r>
      <w:r w:rsidR="00646F68" w:rsidRPr="00F35592">
        <w:rPr>
          <w:rFonts w:asciiTheme="majorBidi" w:eastAsia="Times New Roman" w:hAnsiTheme="majorBidi" w:cstheme="majorBidi"/>
          <w:b/>
          <w:bCs/>
          <w:color w:val="000000"/>
          <w:sz w:val="24"/>
          <w:szCs w:val="24"/>
        </w:rPr>
        <w:t>nterior</w:t>
      </w:r>
      <w:r w:rsidRPr="00F35592">
        <w:rPr>
          <w:rFonts w:asciiTheme="majorBidi" w:eastAsia="Times New Roman" w:hAnsiTheme="majorBidi" w:cstheme="majorBidi"/>
          <w:b/>
          <w:bCs/>
          <w:color w:val="000000"/>
          <w:sz w:val="24"/>
          <w:szCs w:val="24"/>
        </w:rPr>
        <w:t xml:space="preserve"> application to </w:t>
      </w:r>
      <w:r w:rsidR="00646F68" w:rsidRPr="00F35592">
        <w:rPr>
          <w:rFonts w:asciiTheme="majorBidi" w:eastAsia="Times New Roman" w:hAnsiTheme="majorBidi" w:cstheme="majorBidi"/>
          <w:b/>
          <w:bCs/>
          <w:color w:val="000000"/>
          <w:sz w:val="24"/>
          <w:szCs w:val="24"/>
        </w:rPr>
        <w:t>revoke Omar Barghouti’</w:t>
      </w:r>
      <w:r w:rsidRPr="00F35592">
        <w:rPr>
          <w:rFonts w:asciiTheme="majorBidi" w:eastAsia="Times New Roman" w:hAnsiTheme="majorBidi" w:cstheme="majorBidi"/>
          <w:b/>
          <w:bCs/>
          <w:color w:val="000000"/>
          <w:sz w:val="24"/>
          <w:szCs w:val="24"/>
        </w:rPr>
        <w:t>s perm</w:t>
      </w:r>
      <w:r w:rsidR="00472A4B" w:rsidRPr="00F35592">
        <w:rPr>
          <w:rFonts w:asciiTheme="majorBidi" w:eastAsia="Times New Roman" w:hAnsiTheme="majorBidi" w:cstheme="majorBidi"/>
          <w:b/>
          <w:bCs/>
          <w:color w:val="000000"/>
          <w:sz w:val="24"/>
          <w:szCs w:val="24"/>
        </w:rPr>
        <w:t>anent residency status</w:t>
      </w:r>
      <w:r w:rsidR="00646F68" w:rsidRPr="00F35592">
        <w:rPr>
          <w:rFonts w:asciiTheme="majorBidi" w:eastAsia="Times New Roman" w:hAnsiTheme="majorBidi" w:cstheme="majorBidi"/>
          <w:b/>
          <w:bCs/>
          <w:color w:val="000000"/>
          <w:sz w:val="24"/>
          <w:szCs w:val="24"/>
        </w:rPr>
        <w:t>, dated 6 October 2019</w:t>
      </w:r>
      <w:r w:rsidR="00472A4B" w:rsidRPr="00F35592">
        <w:rPr>
          <w:rFonts w:asciiTheme="majorBidi" w:eastAsia="Times New Roman" w:hAnsiTheme="majorBidi" w:cstheme="majorBidi"/>
          <w:b/>
          <w:bCs/>
          <w:color w:val="000000"/>
          <w:sz w:val="24"/>
          <w:szCs w:val="24"/>
        </w:rPr>
        <w:t xml:space="preserve"> (Hebrew)</w:t>
      </w:r>
    </w:p>
    <w:p w14:paraId="7319E809" w14:textId="0ED9C514" w:rsidR="00472A4B" w:rsidRPr="00F35592" w:rsidRDefault="00472A4B" w:rsidP="0047251A">
      <w:pPr>
        <w:pBdr>
          <w:top w:val="nil"/>
          <w:left w:val="nil"/>
          <w:bottom w:val="nil"/>
          <w:right w:val="nil"/>
          <w:between w:val="nil"/>
        </w:pBdr>
        <w:spacing w:before="200" w:after="200" w:line="269" w:lineRule="auto"/>
        <w:jc w:val="both"/>
        <w:rPr>
          <w:rFonts w:asciiTheme="majorBidi" w:eastAsia="Times New Roman" w:hAnsiTheme="majorBidi" w:cstheme="majorBidi"/>
          <w:color w:val="000000"/>
          <w:sz w:val="24"/>
          <w:szCs w:val="24"/>
        </w:rPr>
      </w:pPr>
      <w:r w:rsidRPr="00F35592">
        <w:rPr>
          <w:rFonts w:asciiTheme="majorBidi" w:eastAsia="Times New Roman" w:hAnsiTheme="majorBidi" w:cstheme="majorBidi"/>
          <w:noProof/>
          <w:color w:val="000000"/>
          <w:sz w:val="24"/>
          <w:szCs w:val="24"/>
          <w:lang w:val="en-US"/>
        </w:rPr>
        <w:drawing>
          <wp:inline distT="0" distB="0" distL="0" distR="0" wp14:anchorId="24E8D636" wp14:editId="19C4AE99">
            <wp:extent cx="5928995" cy="7457802"/>
            <wp:effectExtent l="0" t="0" r="0" b="0"/>
            <wp:docPr id="3" name="Picture 3" descr="../Annex%2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ex%201.pdf"/>
                    <pic:cNvPicPr>
                      <a:picLocks noChangeAspect="1" noChangeArrowheads="1"/>
                    </pic:cNvPicPr>
                  </pic:nvPicPr>
                  <pic:blipFill rotWithShape="1">
                    <a:blip r:embed="rId13">
                      <a:extLst>
                        <a:ext uri="{28A0092B-C50C-407E-A947-70E740481C1C}">
                          <a14:useLocalDpi xmlns:a14="http://schemas.microsoft.com/office/drawing/2010/main" val="0"/>
                        </a:ext>
                      </a:extLst>
                    </a:blip>
                    <a:srcRect t="6429" b="4581"/>
                    <a:stretch/>
                  </pic:blipFill>
                  <pic:spPr bwMode="auto">
                    <a:xfrm>
                      <a:off x="0" y="0"/>
                      <a:ext cx="5932178" cy="74618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p w14:paraId="7D3EAE23" w14:textId="509E55F6" w:rsidR="008A0685" w:rsidRPr="00F35592" w:rsidRDefault="00AA735D" w:rsidP="00BE0FD7">
      <w:pPr>
        <w:pBdr>
          <w:top w:val="nil"/>
          <w:left w:val="nil"/>
          <w:bottom w:val="nil"/>
          <w:right w:val="nil"/>
          <w:between w:val="nil"/>
        </w:pBdr>
        <w:spacing w:before="240" w:line="269" w:lineRule="auto"/>
        <w:jc w:val="both"/>
        <w:rPr>
          <w:rFonts w:asciiTheme="majorBidi" w:hAnsiTheme="majorBidi" w:cstheme="majorBidi"/>
          <w:sz w:val="24"/>
          <w:szCs w:val="24"/>
        </w:rPr>
      </w:pPr>
      <w:bookmarkStart w:id="9" w:name="_1fob9te" w:colFirst="0" w:colLast="0"/>
      <w:bookmarkEnd w:id="9"/>
      <w:r w:rsidRPr="00F35592">
        <w:rPr>
          <w:rFonts w:asciiTheme="majorBidi" w:eastAsia="Times New Roman" w:hAnsiTheme="majorBidi" w:cstheme="majorBidi"/>
          <w:b/>
          <w:bCs/>
          <w:color w:val="000000"/>
          <w:sz w:val="24"/>
          <w:szCs w:val="24"/>
        </w:rPr>
        <w:lastRenderedPageBreak/>
        <w:t xml:space="preserve">Annex 2: </w:t>
      </w:r>
      <w:r w:rsidR="002B2421">
        <w:rPr>
          <w:rFonts w:asciiTheme="majorBidi" w:eastAsia="Times New Roman" w:hAnsiTheme="majorBidi" w:cstheme="majorBidi"/>
          <w:b/>
          <w:bCs/>
          <w:color w:val="000000"/>
          <w:sz w:val="24"/>
          <w:szCs w:val="24"/>
        </w:rPr>
        <w:t xml:space="preserve">Response by </w:t>
      </w:r>
      <w:r w:rsidRPr="00F35592">
        <w:rPr>
          <w:rFonts w:asciiTheme="majorBidi" w:eastAsia="Times New Roman" w:hAnsiTheme="majorBidi" w:cstheme="majorBidi"/>
          <w:b/>
          <w:bCs/>
          <w:color w:val="000000"/>
          <w:sz w:val="24"/>
          <w:szCs w:val="24"/>
        </w:rPr>
        <w:t>Israel</w:t>
      </w:r>
      <w:r w:rsidR="002B2421">
        <w:rPr>
          <w:rFonts w:asciiTheme="majorBidi" w:eastAsia="Times New Roman" w:hAnsiTheme="majorBidi" w:cstheme="majorBidi"/>
          <w:b/>
          <w:bCs/>
          <w:color w:val="000000"/>
          <w:sz w:val="24"/>
          <w:szCs w:val="24"/>
        </w:rPr>
        <w:t xml:space="preserve">’s </w:t>
      </w:r>
      <w:r w:rsidRPr="00F35592">
        <w:rPr>
          <w:rFonts w:asciiTheme="majorBidi" w:eastAsia="Times New Roman" w:hAnsiTheme="majorBidi" w:cstheme="majorBidi"/>
          <w:b/>
          <w:bCs/>
          <w:color w:val="000000"/>
          <w:sz w:val="24"/>
          <w:szCs w:val="24"/>
        </w:rPr>
        <w:t>Population and Immigration Authority to a Request for Information based on the Freedom of Information Act (unofficial translation</w:t>
      </w:r>
      <w:r w:rsidR="00BE0FD7">
        <w:rPr>
          <w:rFonts w:asciiTheme="majorBidi" w:eastAsia="Times New Roman" w:hAnsiTheme="majorBidi" w:cstheme="majorBidi"/>
          <w:b/>
          <w:bCs/>
          <w:color w:val="000000"/>
          <w:sz w:val="24"/>
          <w:szCs w:val="24"/>
        </w:rPr>
        <w:t xml:space="preserve"> of Hebrew original</w:t>
      </w:r>
      <w:r w:rsidRPr="00F35592">
        <w:rPr>
          <w:rFonts w:asciiTheme="majorBidi" w:eastAsia="Times New Roman" w:hAnsiTheme="majorBidi" w:cstheme="majorBidi"/>
          <w:b/>
          <w:bCs/>
          <w:color w:val="000000"/>
          <w:sz w:val="24"/>
          <w:szCs w:val="24"/>
        </w:rPr>
        <w:t>)</w:t>
      </w:r>
    </w:p>
    <w:p w14:paraId="1E348C26" w14:textId="77777777" w:rsidR="007056DE" w:rsidRPr="007E48AB" w:rsidRDefault="007056DE" w:rsidP="0047251A">
      <w:pPr>
        <w:spacing w:after="240" w:line="269" w:lineRule="auto"/>
        <w:ind w:left="720" w:right="720"/>
        <w:jc w:val="center"/>
        <w:rPr>
          <w:rFonts w:asciiTheme="majorBidi" w:hAnsiTheme="majorBidi" w:cstheme="majorBidi"/>
          <w:b/>
          <w:bCs/>
        </w:rPr>
      </w:pPr>
      <w:r w:rsidRPr="007E48AB">
        <w:rPr>
          <w:rFonts w:asciiTheme="majorBidi" w:hAnsiTheme="majorBidi" w:cstheme="majorBidi"/>
          <w:b/>
          <w:bCs/>
        </w:rPr>
        <w:t>State of Israel</w:t>
      </w:r>
    </w:p>
    <w:p w14:paraId="68AB5DD6" w14:textId="25EBB018" w:rsidR="008A0685" w:rsidRPr="007E48AB" w:rsidRDefault="008A0685" w:rsidP="0047251A">
      <w:pPr>
        <w:spacing w:before="240" w:after="240" w:line="269" w:lineRule="auto"/>
        <w:ind w:left="720" w:right="720"/>
        <w:jc w:val="center"/>
        <w:rPr>
          <w:rFonts w:asciiTheme="majorBidi" w:hAnsiTheme="majorBidi" w:cstheme="majorBidi"/>
          <w:b/>
          <w:bCs/>
        </w:rPr>
      </w:pPr>
      <w:r w:rsidRPr="007E48AB">
        <w:rPr>
          <w:rFonts w:asciiTheme="majorBidi" w:hAnsiTheme="majorBidi" w:cstheme="majorBidi"/>
          <w:b/>
          <w:bCs/>
        </w:rPr>
        <w:t>Freedom of Information Law</w:t>
      </w:r>
    </w:p>
    <w:p w14:paraId="2D0507A1" w14:textId="0A1F3256" w:rsidR="008A0685" w:rsidRPr="007E48AB" w:rsidRDefault="008A0685" w:rsidP="0047251A">
      <w:pPr>
        <w:spacing w:before="240" w:after="240" w:line="269" w:lineRule="auto"/>
        <w:ind w:left="720" w:right="720"/>
        <w:jc w:val="right"/>
        <w:rPr>
          <w:rFonts w:asciiTheme="majorBidi" w:hAnsiTheme="majorBidi" w:cstheme="majorBidi"/>
          <w:b/>
          <w:bCs/>
        </w:rPr>
      </w:pPr>
      <w:r w:rsidRPr="007E48AB">
        <w:rPr>
          <w:rFonts w:asciiTheme="majorBidi" w:hAnsiTheme="majorBidi" w:cstheme="majorBidi"/>
          <w:b/>
          <w:bCs/>
        </w:rPr>
        <w:t>27</w:t>
      </w:r>
      <w:r w:rsidRPr="007E48AB">
        <w:rPr>
          <w:rFonts w:asciiTheme="majorBidi" w:hAnsiTheme="majorBidi" w:cstheme="majorBidi"/>
          <w:b/>
          <w:bCs/>
          <w:vertAlign w:val="superscript"/>
        </w:rPr>
        <w:t>th</w:t>
      </w:r>
      <w:r w:rsidRPr="007E48AB">
        <w:rPr>
          <w:rFonts w:asciiTheme="majorBidi" w:hAnsiTheme="majorBidi" w:cstheme="majorBidi"/>
          <w:b/>
          <w:bCs/>
        </w:rPr>
        <w:t xml:space="preserve"> of Tishrei, 5778</w:t>
      </w:r>
    </w:p>
    <w:p w14:paraId="3502821B" w14:textId="091199A8" w:rsidR="008A0685" w:rsidRPr="007E48AB" w:rsidRDefault="008A0685" w:rsidP="0047251A">
      <w:pPr>
        <w:spacing w:before="240" w:after="240" w:line="269" w:lineRule="auto"/>
        <w:ind w:left="720" w:right="720"/>
        <w:rPr>
          <w:rFonts w:asciiTheme="majorBidi" w:hAnsiTheme="majorBidi" w:cstheme="majorBidi"/>
          <w:b/>
          <w:bCs/>
        </w:rPr>
      </w:pPr>
      <w:r w:rsidRPr="007E48AB">
        <w:rPr>
          <w:rFonts w:asciiTheme="majorBidi" w:hAnsiTheme="majorBidi" w:cstheme="majorBidi"/>
          <w:b/>
          <w:bCs/>
        </w:rPr>
        <w:t>17</w:t>
      </w:r>
      <w:r w:rsidR="007056DE" w:rsidRPr="007E48AB">
        <w:rPr>
          <w:rFonts w:asciiTheme="majorBidi" w:hAnsiTheme="majorBidi" w:cstheme="majorBidi"/>
          <w:b/>
          <w:bCs/>
        </w:rPr>
        <w:t xml:space="preserve"> October </w:t>
      </w:r>
      <w:r w:rsidRPr="007E48AB">
        <w:rPr>
          <w:rFonts w:asciiTheme="majorBidi" w:hAnsiTheme="majorBidi" w:cstheme="majorBidi"/>
          <w:b/>
          <w:bCs/>
        </w:rPr>
        <w:t>2017</w:t>
      </w:r>
    </w:p>
    <w:p w14:paraId="3C461EC0" w14:textId="79058A7D" w:rsidR="008A0685" w:rsidRPr="007E48AB" w:rsidRDefault="008A0685" w:rsidP="0047251A">
      <w:pPr>
        <w:spacing w:before="240" w:after="240" w:line="269" w:lineRule="auto"/>
        <w:ind w:left="720" w:right="720"/>
        <w:contextualSpacing/>
        <w:jc w:val="right"/>
        <w:rPr>
          <w:rFonts w:asciiTheme="majorBidi" w:hAnsiTheme="majorBidi" w:cstheme="majorBidi"/>
          <w:b/>
          <w:bCs/>
        </w:rPr>
      </w:pPr>
      <w:r w:rsidRPr="007E48AB">
        <w:rPr>
          <w:rFonts w:asciiTheme="majorBidi" w:hAnsiTheme="majorBidi" w:cstheme="majorBidi"/>
          <w:b/>
          <w:bCs/>
        </w:rPr>
        <w:t>2017-00018112</w:t>
      </w:r>
    </w:p>
    <w:p w14:paraId="69167687" w14:textId="77777777" w:rsidR="008A0685" w:rsidRPr="007E48AB" w:rsidRDefault="008A0685" w:rsidP="0047251A">
      <w:pPr>
        <w:spacing w:before="240" w:after="240" w:line="269" w:lineRule="auto"/>
        <w:ind w:left="720" w:right="720"/>
        <w:contextualSpacing/>
        <w:rPr>
          <w:rFonts w:asciiTheme="majorBidi" w:hAnsiTheme="majorBidi" w:cstheme="majorBidi"/>
          <w:b/>
          <w:bCs/>
        </w:rPr>
      </w:pPr>
      <w:r w:rsidRPr="007E48AB">
        <w:rPr>
          <w:rFonts w:asciiTheme="majorBidi" w:hAnsiTheme="majorBidi" w:cstheme="majorBidi"/>
          <w:b/>
          <w:bCs/>
        </w:rPr>
        <w:t>To the Honourable:</w:t>
      </w:r>
    </w:p>
    <w:p w14:paraId="1DCDFD86" w14:textId="77777777" w:rsidR="008A0685" w:rsidRPr="007E48AB" w:rsidRDefault="008A0685" w:rsidP="0047251A">
      <w:pPr>
        <w:spacing w:before="240" w:after="240" w:line="269" w:lineRule="auto"/>
        <w:ind w:left="720" w:right="720"/>
        <w:contextualSpacing/>
        <w:rPr>
          <w:rFonts w:asciiTheme="majorBidi" w:hAnsiTheme="majorBidi" w:cstheme="majorBidi"/>
        </w:rPr>
      </w:pPr>
      <w:r w:rsidRPr="007E48AB">
        <w:rPr>
          <w:rFonts w:asciiTheme="majorBidi" w:hAnsiTheme="majorBidi" w:cstheme="majorBidi"/>
        </w:rPr>
        <w:t>Adv. Murad Khatib</w:t>
      </w:r>
    </w:p>
    <w:p w14:paraId="0283C76A" w14:textId="77777777" w:rsidR="008A0685" w:rsidRPr="007E48AB" w:rsidRDefault="008A0685" w:rsidP="0047251A">
      <w:pPr>
        <w:spacing w:before="240" w:after="240" w:line="269" w:lineRule="auto"/>
        <w:ind w:left="720" w:right="720"/>
        <w:contextualSpacing/>
        <w:rPr>
          <w:rFonts w:asciiTheme="majorBidi" w:hAnsiTheme="majorBidi" w:cstheme="majorBidi"/>
        </w:rPr>
      </w:pPr>
      <w:r w:rsidRPr="007E48AB">
        <w:rPr>
          <w:rFonts w:asciiTheme="majorBidi" w:hAnsiTheme="majorBidi" w:cstheme="majorBidi"/>
        </w:rPr>
        <w:t>‘Aqabat Al-Khalidiyya 37</w:t>
      </w:r>
    </w:p>
    <w:p w14:paraId="1485D6CC" w14:textId="77777777" w:rsidR="008A0685" w:rsidRPr="007E48AB" w:rsidRDefault="008A0685" w:rsidP="0047251A">
      <w:pPr>
        <w:spacing w:before="240" w:after="240" w:line="269" w:lineRule="auto"/>
        <w:ind w:left="720" w:right="720"/>
        <w:contextualSpacing/>
        <w:rPr>
          <w:rFonts w:asciiTheme="majorBidi" w:hAnsiTheme="majorBidi" w:cstheme="majorBidi"/>
        </w:rPr>
      </w:pPr>
      <w:r w:rsidRPr="007E48AB">
        <w:rPr>
          <w:rFonts w:asciiTheme="majorBidi" w:hAnsiTheme="majorBidi" w:cstheme="majorBidi"/>
        </w:rPr>
        <w:t>P.O. Box 38706</w:t>
      </w:r>
    </w:p>
    <w:p w14:paraId="7CA8149A" w14:textId="649EDF8F" w:rsidR="008A0685" w:rsidRPr="007E48AB" w:rsidRDefault="008A0685" w:rsidP="0047251A">
      <w:pPr>
        <w:spacing w:after="240" w:line="269" w:lineRule="auto"/>
        <w:ind w:left="720" w:right="720"/>
        <w:rPr>
          <w:rFonts w:asciiTheme="majorBidi" w:hAnsiTheme="majorBidi" w:cstheme="majorBidi"/>
        </w:rPr>
      </w:pPr>
      <w:r w:rsidRPr="007E48AB">
        <w:rPr>
          <w:rFonts w:asciiTheme="majorBidi" w:hAnsiTheme="majorBidi" w:cstheme="majorBidi"/>
        </w:rPr>
        <w:t>Jerusalem</w:t>
      </w:r>
    </w:p>
    <w:p w14:paraId="572B5D3E" w14:textId="77777777" w:rsidR="008A0685" w:rsidRPr="007E48AB" w:rsidRDefault="008A0685" w:rsidP="0047251A">
      <w:pPr>
        <w:spacing w:before="240" w:after="240" w:line="269" w:lineRule="auto"/>
        <w:ind w:left="720" w:right="720"/>
        <w:rPr>
          <w:rFonts w:asciiTheme="majorBidi" w:hAnsiTheme="majorBidi" w:cstheme="majorBidi"/>
        </w:rPr>
      </w:pPr>
      <w:r w:rsidRPr="007E48AB">
        <w:rPr>
          <w:rFonts w:asciiTheme="majorBidi" w:hAnsiTheme="majorBidi" w:cstheme="majorBidi"/>
        </w:rPr>
        <w:t>Greetings,</w:t>
      </w:r>
    </w:p>
    <w:p w14:paraId="7D31DE99" w14:textId="3DF35E6B" w:rsidR="008A0685" w:rsidRPr="007E48AB" w:rsidRDefault="008A0685" w:rsidP="0047251A">
      <w:pPr>
        <w:spacing w:before="240" w:after="240" w:line="269" w:lineRule="auto"/>
        <w:ind w:left="720" w:right="720"/>
        <w:rPr>
          <w:rFonts w:asciiTheme="majorBidi" w:hAnsiTheme="majorBidi" w:cstheme="majorBidi"/>
          <w:b/>
          <w:bCs/>
        </w:rPr>
      </w:pPr>
      <w:r w:rsidRPr="007E48AB">
        <w:rPr>
          <w:rFonts w:asciiTheme="majorBidi" w:hAnsiTheme="majorBidi" w:cstheme="majorBidi"/>
          <w:b/>
          <w:bCs/>
        </w:rPr>
        <w:t>Subject: Response to a Request for Information</w:t>
      </w:r>
    </w:p>
    <w:p w14:paraId="1401D126" w14:textId="3C7A172C" w:rsidR="008A0685" w:rsidRPr="007E48AB" w:rsidRDefault="008A0685" w:rsidP="0047251A">
      <w:pPr>
        <w:spacing w:before="240" w:after="240" w:line="269" w:lineRule="auto"/>
        <w:ind w:left="720" w:right="720"/>
        <w:jc w:val="both"/>
        <w:rPr>
          <w:rFonts w:asciiTheme="majorBidi" w:hAnsiTheme="majorBidi" w:cstheme="majorBidi"/>
          <w:lang w:bidi="he-IL"/>
        </w:rPr>
      </w:pPr>
      <w:r w:rsidRPr="007E48AB">
        <w:rPr>
          <w:rFonts w:asciiTheme="majorBidi" w:hAnsiTheme="majorBidi" w:cstheme="majorBidi"/>
          <w:u w:val="single"/>
        </w:rPr>
        <w:t xml:space="preserve">With regard to </w:t>
      </w:r>
      <w:r w:rsidRPr="007E48AB">
        <w:rPr>
          <w:rFonts w:asciiTheme="majorBidi" w:hAnsiTheme="majorBidi" w:cstheme="majorBidi"/>
          <w:u w:val="single"/>
          <w:lang w:bidi="he-IL"/>
        </w:rPr>
        <w:t>Section</w:t>
      </w:r>
      <w:r w:rsidRPr="007E48AB">
        <w:rPr>
          <w:rFonts w:asciiTheme="majorBidi" w:hAnsiTheme="majorBidi" w:cstheme="majorBidi"/>
          <w:u w:val="single"/>
        </w:rPr>
        <w:t xml:space="preserve"> 1</w:t>
      </w:r>
      <w:r w:rsidR="00DC5394" w:rsidRPr="007E48AB">
        <w:rPr>
          <w:rFonts w:asciiTheme="majorBidi" w:hAnsiTheme="majorBidi" w:cstheme="majorBidi"/>
          <w:lang w:bidi="he-IL"/>
        </w:rPr>
        <w:t xml:space="preserve"> </w:t>
      </w:r>
      <w:r w:rsidRPr="007E48AB">
        <w:rPr>
          <w:rFonts w:asciiTheme="majorBidi" w:hAnsiTheme="majorBidi" w:cstheme="majorBidi"/>
        </w:rPr>
        <w:t>of your inquiry, I</w:t>
      </w:r>
      <w:r w:rsidRPr="007E48AB">
        <w:rPr>
          <w:rFonts w:asciiTheme="majorBidi" w:hAnsiTheme="majorBidi" w:cstheme="majorBidi"/>
          <w:rtl/>
          <w:lang w:bidi="he-IL"/>
        </w:rPr>
        <w:t xml:space="preserve"> </w:t>
      </w:r>
      <w:r w:rsidRPr="007E48AB">
        <w:rPr>
          <w:rFonts w:asciiTheme="majorBidi" w:hAnsiTheme="majorBidi" w:cstheme="majorBidi"/>
          <w:lang w:bidi="he-IL"/>
        </w:rPr>
        <w:t>hereby state that the computerized system of the Population Authority does not have a feature of refusal in the case of an indirect security risk.</w:t>
      </w:r>
    </w:p>
    <w:p w14:paraId="24C15C06" w14:textId="32D7C6D5" w:rsidR="008A0685" w:rsidRPr="007E48AB" w:rsidRDefault="008A0685" w:rsidP="0047251A">
      <w:pPr>
        <w:spacing w:before="240" w:after="240" w:line="269" w:lineRule="auto"/>
        <w:ind w:left="720" w:right="720"/>
        <w:jc w:val="both"/>
        <w:rPr>
          <w:rFonts w:asciiTheme="majorBidi" w:hAnsiTheme="majorBidi" w:cstheme="majorBidi"/>
          <w:lang w:bidi="he-IL"/>
        </w:rPr>
      </w:pPr>
      <w:r w:rsidRPr="007E48AB">
        <w:rPr>
          <w:rFonts w:asciiTheme="majorBidi" w:hAnsiTheme="majorBidi" w:cstheme="majorBidi"/>
          <w:u w:val="single"/>
          <w:lang w:bidi="he-IL"/>
        </w:rPr>
        <w:t>Response to Section 2</w:t>
      </w:r>
      <w:r w:rsidRPr="007E48AB">
        <w:rPr>
          <w:rFonts w:asciiTheme="majorBidi" w:hAnsiTheme="majorBidi" w:cstheme="majorBidi"/>
          <w:lang w:bidi="he-IL"/>
        </w:rPr>
        <w:t>: As mentioned above, we cannot provide you with data about the reasons</w:t>
      </w:r>
      <w:r w:rsidRPr="007E48AB">
        <w:rPr>
          <w:rFonts w:asciiTheme="majorBidi" w:hAnsiTheme="majorBidi" w:cstheme="majorBidi"/>
          <w:rtl/>
          <w:lang w:bidi="he-IL"/>
        </w:rPr>
        <w:t xml:space="preserve"> </w:t>
      </w:r>
      <w:r w:rsidRPr="007E48AB">
        <w:rPr>
          <w:rFonts w:asciiTheme="majorBidi" w:hAnsiTheme="majorBidi" w:cstheme="majorBidi"/>
          <w:lang w:bidi="he-IL"/>
        </w:rPr>
        <w:t>for revocation since no such feature exists in the computerized system of the Population Authority. However, with regard to the reasons for revocation as a result of a breach of loyalty, we would like to state that, as a result of information which was passed on</w:t>
      </w:r>
      <w:r w:rsidRPr="007E48AB">
        <w:rPr>
          <w:rFonts w:asciiTheme="majorBidi" w:hAnsiTheme="majorBidi" w:cstheme="majorBidi"/>
          <w:rtl/>
          <w:lang w:bidi="he-IL"/>
        </w:rPr>
        <w:t xml:space="preserve"> </w:t>
      </w:r>
      <w:r w:rsidRPr="007E48AB">
        <w:rPr>
          <w:rFonts w:asciiTheme="majorBidi" w:hAnsiTheme="majorBidi" w:cstheme="majorBidi"/>
          <w:lang w:bidi="he-IL"/>
        </w:rPr>
        <w:t>from the Legal Bureau, the last decade saw the revocation of several permanent residenc</w:t>
      </w:r>
      <w:r w:rsidR="00B86B3C">
        <w:rPr>
          <w:rFonts w:asciiTheme="majorBidi" w:hAnsiTheme="majorBidi" w:cstheme="majorBidi"/>
          <w:lang w:bidi="he-IL"/>
        </w:rPr>
        <w:t>y</w:t>
      </w:r>
      <w:r w:rsidRPr="007E48AB">
        <w:rPr>
          <w:rFonts w:asciiTheme="majorBidi" w:hAnsiTheme="majorBidi" w:cstheme="majorBidi"/>
          <w:lang w:bidi="he-IL"/>
        </w:rPr>
        <w:t xml:space="preserve"> permits as a result of a breach of loyalty</w:t>
      </w:r>
      <w:r w:rsidRPr="007E48AB">
        <w:rPr>
          <w:rFonts w:asciiTheme="majorBidi" w:hAnsiTheme="majorBidi" w:cstheme="majorBidi"/>
          <w:rtl/>
          <w:lang w:bidi="he-IL"/>
        </w:rPr>
        <w:t xml:space="preserve"> </w:t>
      </w:r>
      <w:r w:rsidRPr="007E48AB">
        <w:rPr>
          <w:rFonts w:asciiTheme="majorBidi" w:hAnsiTheme="majorBidi" w:cstheme="majorBidi"/>
          <w:lang w:bidi="he-IL"/>
        </w:rPr>
        <w:t>(see below):</w:t>
      </w:r>
    </w:p>
    <w:p w14:paraId="28F41504" w14:textId="0DE80E4B" w:rsidR="008A0685" w:rsidRPr="007E48AB" w:rsidRDefault="005B0535" w:rsidP="0047251A">
      <w:pPr>
        <w:spacing w:before="240" w:after="240" w:line="269" w:lineRule="auto"/>
        <w:ind w:left="720" w:right="720"/>
        <w:jc w:val="both"/>
        <w:rPr>
          <w:rFonts w:asciiTheme="majorBidi" w:hAnsiTheme="majorBidi" w:cstheme="majorBidi"/>
          <w:rtl/>
          <w:lang w:bidi="he-IL"/>
        </w:rPr>
      </w:pPr>
      <w:r>
        <w:rPr>
          <w:rFonts w:asciiTheme="majorBidi" w:hAnsiTheme="majorBidi" w:cstheme="majorBidi"/>
        </w:rPr>
        <w:t>Four</w:t>
      </w:r>
      <w:r w:rsidR="008A0685" w:rsidRPr="007E48AB">
        <w:rPr>
          <w:rFonts w:asciiTheme="majorBidi" w:hAnsiTheme="majorBidi" w:cstheme="majorBidi"/>
        </w:rPr>
        <w:t xml:space="preserve"> Parliamentarians from the Hamas government who are residents of East Jerusalem </w:t>
      </w:r>
      <w:r w:rsidR="008A0685" w:rsidRPr="007E48AB">
        <w:rPr>
          <w:rFonts w:asciiTheme="majorBidi" w:hAnsiTheme="majorBidi" w:cstheme="majorBidi"/>
          <w:lang w:bidi="he-IL"/>
        </w:rPr>
        <w:t>have made an appeal at the Supreme Court in legal proceeding number 7803/06 (hereby referred to as “Supreme Court of Justice – Abu-Arafeh”). A court verdict was issued regarding this appeal on the date of 13</w:t>
      </w:r>
      <w:r>
        <w:rPr>
          <w:rFonts w:asciiTheme="majorBidi" w:hAnsiTheme="majorBidi" w:cstheme="majorBidi"/>
          <w:lang w:bidi="he-IL"/>
        </w:rPr>
        <w:t xml:space="preserve"> September </w:t>
      </w:r>
      <w:r w:rsidR="008A0685" w:rsidRPr="007E48AB">
        <w:rPr>
          <w:rFonts w:asciiTheme="majorBidi" w:hAnsiTheme="majorBidi" w:cstheme="majorBidi"/>
          <w:lang w:bidi="he-IL"/>
        </w:rPr>
        <w:t>2017.</w:t>
      </w:r>
    </w:p>
    <w:p w14:paraId="36D71531" w14:textId="2F881E71" w:rsidR="008A0685" w:rsidRPr="007E48AB" w:rsidRDefault="005B0535" w:rsidP="0047251A">
      <w:pPr>
        <w:spacing w:before="240" w:after="240" w:line="269" w:lineRule="auto"/>
        <w:ind w:left="720" w:right="720"/>
        <w:jc w:val="both"/>
        <w:rPr>
          <w:rFonts w:asciiTheme="majorBidi" w:hAnsiTheme="majorBidi" w:cstheme="majorBidi"/>
          <w:lang w:bidi="he-IL"/>
        </w:rPr>
      </w:pPr>
      <w:r>
        <w:rPr>
          <w:rFonts w:asciiTheme="majorBidi" w:hAnsiTheme="majorBidi" w:cstheme="majorBidi"/>
          <w:lang w:bidi="he-IL"/>
        </w:rPr>
        <w:t>Four</w:t>
      </w:r>
      <w:r w:rsidR="008A0685" w:rsidRPr="007E48AB">
        <w:rPr>
          <w:rFonts w:asciiTheme="majorBidi" w:hAnsiTheme="majorBidi" w:cstheme="majorBidi"/>
          <w:lang w:bidi="he-IL"/>
        </w:rPr>
        <w:t xml:space="preserve"> members of the Silwan branch [of Hamas], all of whom were East Jerusalem residents, are awaiting the decision of the Jerusalem District Court under legal proceeding number 303/06.</w:t>
      </w:r>
    </w:p>
    <w:p w14:paraId="7454D15D" w14:textId="77777777" w:rsidR="008A0685" w:rsidRPr="007E48AB" w:rsidRDefault="008A0685" w:rsidP="0047251A">
      <w:pPr>
        <w:spacing w:before="240" w:after="240" w:line="269" w:lineRule="auto"/>
        <w:ind w:left="720" w:right="720"/>
        <w:jc w:val="both"/>
        <w:rPr>
          <w:rFonts w:asciiTheme="majorBidi" w:hAnsiTheme="majorBidi" w:cstheme="majorBidi"/>
          <w:lang w:bidi="he-IL"/>
        </w:rPr>
      </w:pPr>
      <w:r w:rsidRPr="007E48AB">
        <w:rPr>
          <w:rFonts w:asciiTheme="majorBidi" w:hAnsiTheme="majorBidi" w:cstheme="majorBidi"/>
          <w:lang w:bidi="he-IL"/>
        </w:rPr>
        <w:t>The person who helped the terrorist in carrying out an attack at the Tel Aviv Dolphinarium in 2001; his issue depends on the decision of the Jerusalem Court of Appeal.</w:t>
      </w:r>
    </w:p>
    <w:p w14:paraId="74F0D172" w14:textId="5D730DDD" w:rsidR="008A0685" w:rsidRPr="007E48AB" w:rsidRDefault="005B0535" w:rsidP="0047251A">
      <w:pPr>
        <w:spacing w:before="240" w:after="240" w:line="269" w:lineRule="auto"/>
        <w:ind w:left="720" w:right="720"/>
        <w:jc w:val="both"/>
        <w:rPr>
          <w:rFonts w:asciiTheme="majorBidi" w:hAnsiTheme="majorBidi" w:cstheme="majorBidi"/>
          <w:lang w:bidi="he-IL"/>
        </w:rPr>
      </w:pPr>
      <w:r>
        <w:rPr>
          <w:rFonts w:asciiTheme="majorBidi" w:hAnsiTheme="majorBidi" w:cstheme="majorBidi"/>
          <w:lang w:bidi="he-IL"/>
        </w:rPr>
        <w:lastRenderedPageBreak/>
        <w:t>Four</w:t>
      </w:r>
      <w:r w:rsidR="008A0685" w:rsidRPr="007E48AB">
        <w:rPr>
          <w:rFonts w:asciiTheme="majorBidi" w:hAnsiTheme="majorBidi" w:cstheme="majorBidi"/>
          <w:lang w:bidi="he-IL"/>
        </w:rPr>
        <w:t xml:space="preserve"> terrorists from the recent wave of terror attacks: Their permanent residenc</w:t>
      </w:r>
      <w:r w:rsidR="00B86B3C">
        <w:rPr>
          <w:rFonts w:asciiTheme="majorBidi" w:hAnsiTheme="majorBidi" w:cstheme="majorBidi"/>
          <w:lang w:bidi="he-IL"/>
        </w:rPr>
        <w:t>y</w:t>
      </w:r>
      <w:r w:rsidR="008A0685" w:rsidRPr="007E48AB">
        <w:rPr>
          <w:rFonts w:asciiTheme="majorBidi" w:hAnsiTheme="majorBidi" w:cstheme="majorBidi"/>
          <w:lang w:bidi="he-IL"/>
        </w:rPr>
        <w:t xml:space="preserve"> permits were revoked in 2016, and all of them were East Jerusalem residents. They made an appeal at the Supreme Court under legal proceeding number 1635/16.</w:t>
      </w:r>
    </w:p>
    <w:p w14:paraId="559FFB92" w14:textId="77777777" w:rsidR="008A0685" w:rsidRPr="007E48AB" w:rsidRDefault="008A0685" w:rsidP="0047251A">
      <w:pPr>
        <w:spacing w:before="240" w:after="240" w:line="269" w:lineRule="auto"/>
        <w:ind w:left="720" w:right="720"/>
        <w:jc w:val="both"/>
        <w:rPr>
          <w:rFonts w:asciiTheme="majorBidi" w:hAnsiTheme="majorBidi" w:cstheme="majorBidi"/>
          <w:lang w:bidi="he-IL"/>
        </w:rPr>
      </w:pPr>
      <w:r w:rsidRPr="007E48AB">
        <w:rPr>
          <w:rFonts w:asciiTheme="majorBidi" w:hAnsiTheme="majorBidi" w:cstheme="majorBidi"/>
          <w:lang w:bidi="he-IL"/>
        </w:rPr>
        <w:t>All of the aforementioned revocations were signed by the Minister of Interior himself.</w:t>
      </w:r>
    </w:p>
    <w:p w14:paraId="7583054D" w14:textId="2917659B" w:rsidR="008A0685" w:rsidRPr="007E48AB" w:rsidRDefault="008A0685" w:rsidP="0047251A">
      <w:pPr>
        <w:spacing w:before="240" w:after="240" w:line="269" w:lineRule="auto"/>
        <w:ind w:left="720" w:right="720"/>
        <w:jc w:val="both"/>
        <w:rPr>
          <w:rFonts w:asciiTheme="majorBidi" w:hAnsiTheme="majorBidi" w:cstheme="majorBidi"/>
          <w:lang w:bidi="he-IL"/>
        </w:rPr>
      </w:pPr>
      <w:r w:rsidRPr="007E48AB">
        <w:rPr>
          <w:rFonts w:asciiTheme="majorBidi" w:hAnsiTheme="majorBidi" w:cstheme="majorBidi"/>
          <w:u w:val="single"/>
          <w:lang w:bidi="he-IL"/>
        </w:rPr>
        <w:t>Response to Section 3</w:t>
      </w:r>
      <w:r w:rsidRPr="007E48AB">
        <w:rPr>
          <w:rFonts w:asciiTheme="majorBidi" w:hAnsiTheme="majorBidi" w:cstheme="majorBidi"/>
          <w:lang w:bidi="he-IL"/>
        </w:rPr>
        <w:t>:  The computerized system of the Population Authority does not have the feature of revoking ID cards under security grounds; and therefore</w:t>
      </w:r>
      <w:r w:rsidR="005B0535">
        <w:rPr>
          <w:rFonts w:asciiTheme="majorBidi" w:hAnsiTheme="majorBidi" w:cstheme="majorBidi"/>
          <w:lang w:bidi="he-IL"/>
        </w:rPr>
        <w:t>,</w:t>
      </w:r>
      <w:r w:rsidRPr="007E48AB">
        <w:rPr>
          <w:rFonts w:asciiTheme="majorBidi" w:hAnsiTheme="majorBidi" w:cstheme="majorBidi"/>
          <w:lang w:bidi="he-IL"/>
        </w:rPr>
        <w:t xml:space="preserve"> we cannot extract such data singlehandedly.</w:t>
      </w:r>
    </w:p>
    <w:p w14:paraId="4CD3AF84" w14:textId="40CEC5E3" w:rsidR="008A0685" w:rsidRPr="007E48AB" w:rsidRDefault="008A0685" w:rsidP="0047251A">
      <w:pPr>
        <w:spacing w:before="240" w:after="240" w:line="269" w:lineRule="auto"/>
        <w:ind w:left="720" w:right="720"/>
        <w:jc w:val="both"/>
        <w:rPr>
          <w:rFonts w:asciiTheme="majorBidi" w:hAnsiTheme="majorBidi" w:cstheme="majorBidi"/>
          <w:rtl/>
          <w:lang w:bidi="he-IL"/>
        </w:rPr>
      </w:pPr>
      <w:r w:rsidRPr="007E48AB">
        <w:rPr>
          <w:rFonts w:asciiTheme="majorBidi" w:hAnsiTheme="majorBidi" w:cstheme="majorBidi"/>
          <w:u w:val="single"/>
          <w:lang w:bidi="he-IL"/>
        </w:rPr>
        <w:t>Response to Section 4</w:t>
      </w:r>
      <w:r w:rsidRPr="007E48AB">
        <w:rPr>
          <w:rFonts w:asciiTheme="majorBidi" w:hAnsiTheme="majorBidi" w:cstheme="majorBidi"/>
          <w:lang w:bidi="he-IL"/>
        </w:rPr>
        <w:t>:  Your question is not understandable and it needs further clarification</w:t>
      </w:r>
      <w:r w:rsidR="005B0535">
        <w:rPr>
          <w:rFonts w:asciiTheme="majorBidi" w:hAnsiTheme="majorBidi" w:cstheme="majorBidi"/>
          <w:lang w:bidi="he-IL"/>
        </w:rPr>
        <w:t>. W</w:t>
      </w:r>
      <w:r w:rsidRPr="007E48AB">
        <w:rPr>
          <w:rFonts w:asciiTheme="majorBidi" w:hAnsiTheme="majorBidi" w:cstheme="majorBidi"/>
          <w:lang w:bidi="he-IL"/>
        </w:rPr>
        <w:t>hat kinds of requests and permits are you referring to?</w:t>
      </w:r>
    </w:p>
    <w:p w14:paraId="7AE2AF70" w14:textId="578A7D77" w:rsidR="008A0685" w:rsidRPr="007E48AB" w:rsidRDefault="008A0685" w:rsidP="0047251A">
      <w:pPr>
        <w:spacing w:before="240" w:after="240" w:line="269" w:lineRule="auto"/>
        <w:ind w:left="720" w:right="720"/>
        <w:rPr>
          <w:rFonts w:asciiTheme="majorBidi" w:hAnsiTheme="majorBidi" w:cstheme="majorBidi"/>
          <w:lang w:bidi="he-IL"/>
        </w:rPr>
      </w:pPr>
      <w:r w:rsidRPr="007E48AB">
        <w:rPr>
          <w:rFonts w:asciiTheme="majorBidi" w:hAnsiTheme="majorBidi" w:cstheme="majorBidi"/>
          <w:lang w:bidi="he-IL"/>
        </w:rPr>
        <w:t>Best Regards,</w:t>
      </w:r>
    </w:p>
    <w:p w14:paraId="65715E23" w14:textId="2B72E02E" w:rsidR="008A0685" w:rsidRPr="007E48AB" w:rsidRDefault="008A0685" w:rsidP="0047251A">
      <w:pPr>
        <w:spacing w:before="240" w:after="240" w:line="269" w:lineRule="auto"/>
        <w:ind w:left="720" w:right="720"/>
        <w:contextualSpacing/>
        <w:rPr>
          <w:rFonts w:asciiTheme="majorBidi" w:hAnsiTheme="majorBidi" w:cstheme="majorBidi"/>
          <w:lang w:bidi="he-IL"/>
        </w:rPr>
      </w:pPr>
      <w:r w:rsidRPr="007E48AB">
        <w:rPr>
          <w:rFonts w:asciiTheme="majorBidi" w:hAnsiTheme="majorBidi" w:cstheme="majorBidi"/>
          <w:lang w:bidi="he-IL"/>
        </w:rPr>
        <w:t>Mali Davidian</w:t>
      </w:r>
    </w:p>
    <w:p w14:paraId="10AD32B6" w14:textId="76FC1C90" w:rsidR="007056DE" w:rsidRPr="007E48AB" w:rsidRDefault="008A0685" w:rsidP="0047251A">
      <w:pPr>
        <w:spacing w:after="240" w:line="269" w:lineRule="auto"/>
        <w:ind w:left="720" w:right="720"/>
        <w:rPr>
          <w:rFonts w:asciiTheme="majorBidi" w:hAnsiTheme="majorBidi" w:cstheme="majorBidi"/>
          <w:lang w:bidi="he-IL"/>
        </w:rPr>
      </w:pPr>
      <w:r w:rsidRPr="007E48AB">
        <w:rPr>
          <w:rFonts w:asciiTheme="majorBidi" w:hAnsiTheme="majorBidi" w:cstheme="majorBidi"/>
          <w:lang w:bidi="he-IL"/>
        </w:rPr>
        <w:t>Supervisor of the Freedom of Information Law</w:t>
      </w:r>
    </w:p>
    <w:p w14:paraId="1F51F707" w14:textId="40E0B474" w:rsidR="008A0685" w:rsidRPr="007E48AB" w:rsidRDefault="008A0685" w:rsidP="0047251A">
      <w:pPr>
        <w:spacing w:after="240" w:line="269" w:lineRule="auto"/>
        <w:ind w:left="720" w:right="720"/>
        <w:rPr>
          <w:rFonts w:asciiTheme="majorBidi" w:hAnsiTheme="majorBidi" w:cstheme="majorBidi"/>
          <w:lang w:bidi="he-IL"/>
        </w:rPr>
      </w:pPr>
      <w:r w:rsidRPr="007E48AB">
        <w:rPr>
          <w:rFonts w:asciiTheme="majorBidi" w:hAnsiTheme="majorBidi" w:cstheme="majorBidi"/>
          <w:lang w:bidi="he-IL"/>
        </w:rPr>
        <w:t>[Signature included]</w:t>
      </w:r>
    </w:p>
    <w:p w14:paraId="4A14F662" w14:textId="07778E9A" w:rsidR="007B2E40" w:rsidRDefault="008A0685" w:rsidP="0047251A">
      <w:pPr>
        <w:spacing w:before="240" w:after="240" w:line="269" w:lineRule="auto"/>
        <w:ind w:left="720" w:right="720"/>
        <w:rPr>
          <w:rFonts w:asciiTheme="majorBidi" w:eastAsia="Times New Roman" w:hAnsiTheme="majorBidi" w:cstheme="majorBidi"/>
          <w:b/>
          <w:bCs/>
          <w:color w:val="000000"/>
          <w:sz w:val="24"/>
          <w:szCs w:val="24"/>
        </w:rPr>
      </w:pPr>
      <w:r w:rsidRPr="007E48AB">
        <w:rPr>
          <w:rFonts w:asciiTheme="majorBidi" w:hAnsiTheme="majorBidi" w:cstheme="majorBidi"/>
          <w:b/>
          <w:bCs/>
          <w:lang w:bidi="he-IL"/>
        </w:rPr>
        <w:t>According to Article (7) (f) of the Freedom of Information Law of 1998 [5758], it is possible to appeal against this decision in the Administrative Affairs Courts.</w:t>
      </w:r>
      <w:r w:rsidR="007B2E40">
        <w:rPr>
          <w:rFonts w:asciiTheme="majorBidi" w:eastAsia="Times New Roman" w:hAnsiTheme="majorBidi" w:cstheme="majorBidi"/>
          <w:b/>
          <w:bCs/>
          <w:color w:val="000000"/>
          <w:sz w:val="24"/>
          <w:szCs w:val="24"/>
        </w:rPr>
        <w:br w:type="page"/>
      </w:r>
    </w:p>
    <w:p w14:paraId="56DA18E9" w14:textId="370B8948" w:rsidR="00332F01" w:rsidRPr="004919F4" w:rsidRDefault="008A0685" w:rsidP="00BE0FD7">
      <w:pPr>
        <w:spacing w:before="240" w:after="240" w:line="269" w:lineRule="auto"/>
        <w:rPr>
          <w:b/>
          <w:bCs/>
          <w:sz w:val="26"/>
          <w:szCs w:val="26"/>
          <w:u w:val="single"/>
          <w:lang w:bidi="he-IL"/>
        </w:rPr>
      </w:pPr>
      <w:r w:rsidRPr="00F35592">
        <w:rPr>
          <w:rFonts w:asciiTheme="majorBidi" w:eastAsia="Times New Roman" w:hAnsiTheme="majorBidi" w:cstheme="majorBidi"/>
          <w:b/>
          <w:bCs/>
          <w:color w:val="000000"/>
          <w:sz w:val="24"/>
          <w:szCs w:val="24"/>
        </w:rPr>
        <w:lastRenderedPageBreak/>
        <w:t xml:space="preserve">Annex 3: </w:t>
      </w:r>
      <w:r w:rsidR="00F35592" w:rsidRPr="007E48AB">
        <w:rPr>
          <w:rFonts w:asciiTheme="majorBidi" w:eastAsia="Times New Roman" w:hAnsiTheme="majorBidi" w:cstheme="majorBidi"/>
          <w:b/>
          <w:bCs/>
          <w:color w:val="000000"/>
          <w:sz w:val="24"/>
          <w:szCs w:val="24"/>
        </w:rPr>
        <w:t>Entry into Israel Law (Amendment No. 30) of 2018</w:t>
      </w:r>
      <w:r w:rsidR="00F35592" w:rsidRPr="00CE5EBD">
        <w:rPr>
          <w:rStyle w:val="FootnoteReference"/>
          <w:rFonts w:asciiTheme="majorBidi" w:hAnsiTheme="majorBidi" w:cstheme="majorBidi"/>
          <w:b/>
          <w:bCs/>
          <w:sz w:val="24"/>
          <w:szCs w:val="24"/>
        </w:rPr>
        <w:footnoteReference w:id="10"/>
      </w:r>
      <w:r w:rsidR="00F35592" w:rsidRPr="00CE5EBD">
        <w:rPr>
          <w:rStyle w:val="FootnoteReference"/>
        </w:rPr>
        <w:t xml:space="preserve"> </w:t>
      </w:r>
      <w:r w:rsidR="00332F01" w:rsidRPr="007E48AB">
        <w:rPr>
          <w:rFonts w:asciiTheme="majorBidi" w:eastAsia="Times New Roman" w:hAnsiTheme="majorBidi" w:cstheme="majorBidi"/>
          <w:b/>
          <w:bCs/>
          <w:color w:val="000000"/>
          <w:sz w:val="24"/>
          <w:szCs w:val="24"/>
        </w:rPr>
        <w:t>(</w:t>
      </w:r>
      <w:r w:rsidR="002B2421" w:rsidRPr="007E48AB">
        <w:rPr>
          <w:rFonts w:asciiTheme="majorBidi" w:eastAsia="Times New Roman" w:hAnsiTheme="majorBidi" w:cstheme="majorBidi"/>
          <w:b/>
          <w:bCs/>
          <w:color w:val="000000"/>
          <w:sz w:val="24"/>
          <w:szCs w:val="24"/>
        </w:rPr>
        <w:t>u</w:t>
      </w:r>
      <w:r w:rsidR="00332F01" w:rsidRPr="007E48AB">
        <w:rPr>
          <w:rFonts w:asciiTheme="majorBidi" w:eastAsia="Times New Roman" w:hAnsiTheme="majorBidi" w:cstheme="majorBidi"/>
          <w:b/>
          <w:bCs/>
          <w:color w:val="000000"/>
          <w:sz w:val="24"/>
          <w:szCs w:val="24"/>
        </w:rPr>
        <w:t>nofficial translation</w:t>
      </w:r>
      <w:r w:rsidR="00BE0FD7">
        <w:rPr>
          <w:rFonts w:asciiTheme="majorBidi" w:eastAsia="Times New Roman" w:hAnsiTheme="majorBidi" w:cstheme="majorBidi"/>
          <w:b/>
          <w:bCs/>
          <w:color w:val="000000"/>
          <w:sz w:val="24"/>
          <w:szCs w:val="24"/>
        </w:rPr>
        <w:t xml:space="preserve"> of Hebrew original</w:t>
      </w:r>
      <w:r w:rsidR="002B2421" w:rsidRPr="007E48AB">
        <w:rPr>
          <w:rFonts w:asciiTheme="majorBidi" w:eastAsia="Times New Roman" w:hAnsiTheme="majorBidi" w:cstheme="majorBidi"/>
          <w:b/>
          <w:bCs/>
          <w:color w:val="000000"/>
          <w:sz w:val="24"/>
          <w:szCs w:val="24"/>
        </w:rPr>
        <w:t>)</w:t>
      </w:r>
      <w:r w:rsidR="00C36CCE">
        <w:rPr>
          <w:rStyle w:val="FootnoteReference"/>
          <w:rFonts w:asciiTheme="majorBidi" w:eastAsia="Times New Roman" w:hAnsiTheme="majorBidi" w:cstheme="majorBidi"/>
          <w:b/>
          <w:bCs/>
          <w:color w:val="000000"/>
          <w:sz w:val="24"/>
          <w:szCs w:val="24"/>
        </w:rPr>
        <w:footnoteReference w:id="11"/>
      </w:r>
    </w:p>
    <w:p w14:paraId="1668559E" w14:textId="6CECE130" w:rsidR="00332F01" w:rsidRPr="007E48AB" w:rsidRDefault="00332F01" w:rsidP="0047251A">
      <w:pPr>
        <w:spacing w:before="240" w:after="240" w:line="269" w:lineRule="auto"/>
        <w:ind w:left="720" w:right="720"/>
        <w:jc w:val="both"/>
        <w:rPr>
          <w:rFonts w:ascii="Times New Roman" w:hAnsi="Times New Roman" w:cs="Times New Roman"/>
          <w:lang w:bidi="he-IL"/>
        </w:rPr>
      </w:pPr>
      <w:r w:rsidRPr="007E48AB">
        <w:rPr>
          <w:rFonts w:ascii="Times New Roman" w:hAnsi="Times New Roman" w:cs="Times New Roman"/>
          <w:b/>
          <w:bCs/>
          <w:lang w:bidi="he-IL"/>
        </w:rPr>
        <w:t xml:space="preserve">An addition to Article 11 (a) </w:t>
      </w:r>
      <w:r w:rsidRPr="007E48AB">
        <w:rPr>
          <w:rFonts w:ascii="Times New Roman" w:hAnsi="Times New Roman" w:cs="Times New Roman"/>
          <w:lang w:bidi="he-IL"/>
        </w:rPr>
        <w:t>1. The following will be added after Article 11 of the Entry into Israel Law of 1952</w:t>
      </w:r>
      <w:r w:rsidRPr="007E48AB">
        <w:rPr>
          <w:rStyle w:val="FootnoteReference"/>
          <w:rFonts w:ascii="Times New Roman" w:hAnsi="Times New Roman" w:cs="Times New Roman"/>
          <w:lang w:bidi="he-IL"/>
        </w:rPr>
        <w:footnoteReference w:id="12"/>
      </w:r>
      <w:r w:rsidRPr="007E48AB">
        <w:rPr>
          <w:rFonts w:ascii="Times New Roman" w:hAnsi="Times New Roman" w:cs="Times New Roman"/>
          <w:lang w:bidi="he-IL"/>
        </w:rPr>
        <w:t xml:space="preserve"> [5712], (hereby referred to as the “Main Law”):</w:t>
      </w:r>
    </w:p>
    <w:p w14:paraId="089C2423" w14:textId="08A295D5" w:rsidR="00332F01" w:rsidRPr="007E48AB" w:rsidRDefault="00332F01" w:rsidP="0047251A">
      <w:pPr>
        <w:spacing w:before="240" w:after="240" w:line="269" w:lineRule="auto"/>
        <w:ind w:left="720" w:right="720"/>
        <w:jc w:val="both"/>
        <w:rPr>
          <w:rFonts w:ascii="Times New Roman" w:hAnsi="Times New Roman" w:cs="Times New Roman"/>
          <w:lang w:bidi="he-IL"/>
        </w:rPr>
      </w:pPr>
      <w:r w:rsidRPr="007E48AB">
        <w:rPr>
          <w:rFonts w:ascii="Times New Roman" w:hAnsi="Times New Roman" w:cs="Times New Roman"/>
          <w:b/>
          <w:bCs/>
          <w:lang w:bidi="he-IL"/>
        </w:rPr>
        <w:t>“Cancellation of Permanent Residenc</w:t>
      </w:r>
      <w:r w:rsidR="003874E3">
        <w:rPr>
          <w:rFonts w:ascii="Times New Roman" w:hAnsi="Times New Roman" w:cs="Times New Roman"/>
          <w:b/>
          <w:bCs/>
          <w:lang w:bidi="he-IL"/>
        </w:rPr>
        <w:t>y</w:t>
      </w:r>
      <w:r w:rsidRPr="007E48AB">
        <w:rPr>
          <w:rFonts w:ascii="Times New Roman" w:hAnsi="Times New Roman" w:cs="Times New Roman"/>
          <w:b/>
          <w:bCs/>
          <w:lang w:bidi="he-IL"/>
        </w:rPr>
        <w:t xml:space="preserve"> Permits due to a Breach of Loyalty</w:t>
      </w:r>
    </w:p>
    <w:p w14:paraId="69230E21" w14:textId="2BDA0AD5" w:rsidR="00332F01" w:rsidRPr="007E48AB" w:rsidRDefault="00332F01" w:rsidP="0047251A">
      <w:pPr>
        <w:spacing w:before="240" w:after="240" w:line="269" w:lineRule="auto"/>
        <w:ind w:left="1530" w:right="720" w:hanging="810"/>
        <w:jc w:val="both"/>
        <w:rPr>
          <w:rFonts w:ascii="Times New Roman" w:hAnsi="Times New Roman" w:cs="Times New Roman"/>
          <w:lang w:bidi="he-IL"/>
        </w:rPr>
      </w:pPr>
      <w:r w:rsidRPr="007E48AB">
        <w:rPr>
          <w:rFonts w:ascii="Times New Roman" w:hAnsi="Times New Roman" w:cs="Times New Roman"/>
          <w:lang w:bidi="he-IL"/>
        </w:rPr>
        <w:t>11a.</w:t>
      </w:r>
      <w:r w:rsidR="00E56E78" w:rsidRPr="00E56E78">
        <w:rPr>
          <w:rFonts w:ascii="Times New Roman" w:hAnsi="Times New Roman" w:cs="Times New Roman"/>
          <w:lang w:bidi="he-IL"/>
        </w:rPr>
        <w:t xml:space="preserve"> </w:t>
      </w:r>
      <w:r w:rsidRPr="007E48AB">
        <w:rPr>
          <w:rFonts w:ascii="Times New Roman" w:hAnsi="Times New Roman" w:cs="Times New Roman"/>
          <w:lang w:bidi="he-IL"/>
        </w:rPr>
        <w:t xml:space="preserve">(a) </w:t>
      </w:r>
      <w:r w:rsidR="00964188">
        <w:rPr>
          <w:rFonts w:ascii="Times New Roman" w:hAnsi="Times New Roman" w:cs="Times New Roman"/>
          <w:lang w:bidi="he-IL"/>
        </w:rPr>
        <w:t xml:space="preserve"> </w:t>
      </w:r>
      <w:r w:rsidRPr="007E48AB">
        <w:rPr>
          <w:rFonts w:ascii="Times New Roman" w:hAnsi="Times New Roman" w:cs="Times New Roman"/>
          <w:lang w:bidi="he-IL"/>
        </w:rPr>
        <w:t>Without undermining the provisions of Article 11(a)(2), the Minister of Interior is entitled to cancel a permanent residenc</w:t>
      </w:r>
      <w:r w:rsidR="003874E3">
        <w:rPr>
          <w:rFonts w:ascii="Times New Roman" w:hAnsi="Times New Roman" w:cs="Times New Roman"/>
          <w:lang w:bidi="he-IL"/>
        </w:rPr>
        <w:t>y</w:t>
      </w:r>
      <w:r w:rsidRPr="007E48AB">
        <w:rPr>
          <w:rFonts w:ascii="Times New Roman" w:hAnsi="Times New Roman" w:cs="Times New Roman"/>
          <w:lang w:bidi="he-IL"/>
        </w:rPr>
        <w:t xml:space="preserve"> permit which was given according to this law (in this law</w:t>
      </w:r>
      <w:r w:rsidR="00E56E78">
        <w:rPr>
          <w:rFonts w:ascii="Times New Roman" w:hAnsi="Times New Roman" w:cs="Times New Roman"/>
          <w:lang w:bidi="he-IL"/>
        </w:rPr>
        <w:t xml:space="preserve"> </w:t>
      </w:r>
      <w:r w:rsidRPr="007E48AB">
        <w:rPr>
          <w:rFonts w:ascii="Times New Roman" w:hAnsi="Times New Roman" w:cs="Times New Roman"/>
          <w:lang w:bidi="he-IL"/>
        </w:rPr>
        <w:t>–</w:t>
      </w:r>
      <w:r w:rsidR="00E56E78">
        <w:rPr>
          <w:rFonts w:ascii="Times New Roman" w:hAnsi="Times New Roman" w:cs="Times New Roman"/>
          <w:lang w:bidi="he-IL"/>
        </w:rPr>
        <w:t xml:space="preserve"> </w:t>
      </w:r>
      <w:r w:rsidRPr="007E48AB">
        <w:rPr>
          <w:rFonts w:ascii="Times New Roman" w:hAnsi="Times New Roman" w:cs="Times New Roman"/>
          <w:lang w:bidi="he-IL"/>
        </w:rPr>
        <w:t>Permit), among other things, if it was proven, based on his</w:t>
      </w:r>
      <w:r w:rsidR="00576C88">
        <w:rPr>
          <w:rFonts w:ascii="Times New Roman" w:hAnsi="Times New Roman" w:cs="Times New Roman"/>
          <w:lang w:bidi="he-IL"/>
        </w:rPr>
        <w:t>/her</w:t>
      </w:r>
      <w:r w:rsidRPr="007E48AB">
        <w:rPr>
          <w:rFonts w:ascii="Times New Roman" w:hAnsi="Times New Roman" w:cs="Times New Roman"/>
          <w:lang w:bidi="he-IL"/>
        </w:rPr>
        <w:t xml:space="preserve"> opinion, that the holder of the permit has committed an act which is considered a breach of loyalty to the State of Israel, provided that this permit would not be cancelled for those who meet one of the below</w:t>
      </w:r>
      <w:r w:rsidR="003874E3">
        <w:rPr>
          <w:rFonts w:ascii="Times New Roman" w:hAnsi="Times New Roman" w:cs="Times New Roman"/>
          <w:lang w:bidi="he-IL"/>
        </w:rPr>
        <w:t>-</w:t>
      </w:r>
      <w:r w:rsidRPr="007E48AB">
        <w:rPr>
          <w:rFonts w:ascii="Times New Roman" w:hAnsi="Times New Roman" w:cs="Times New Roman"/>
          <w:lang w:bidi="he-IL"/>
        </w:rPr>
        <w:t>mentioned conditions except with the approval of the Minister of Justice after consulting with the committee which was established according to Article 11(h) of the Citizenship Law of 1952 [5712]:</w:t>
      </w:r>
    </w:p>
    <w:p w14:paraId="7A9D6EC1" w14:textId="226A47DF" w:rsidR="00332F01" w:rsidRPr="007E48AB" w:rsidRDefault="00332F01" w:rsidP="0047251A">
      <w:pPr>
        <w:pStyle w:val="ListParagraph"/>
        <w:numPr>
          <w:ilvl w:val="0"/>
          <w:numId w:val="14"/>
        </w:numPr>
        <w:spacing w:before="240" w:after="240" w:line="269" w:lineRule="auto"/>
        <w:ind w:left="1886" w:right="720"/>
        <w:contextualSpacing w:val="0"/>
        <w:jc w:val="both"/>
        <w:rPr>
          <w:rFonts w:ascii="Times New Roman" w:hAnsi="Times New Roman" w:cs="Times New Roman"/>
          <w:lang w:bidi="he-IL"/>
        </w:rPr>
      </w:pPr>
      <w:r w:rsidRPr="007E48AB">
        <w:rPr>
          <w:rFonts w:ascii="Times New Roman" w:hAnsi="Times New Roman" w:cs="Times New Roman"/>
          <w:lang w:bidi="he-IL"/>
        </w:rPr>
        <w:t>At the time of committing that act, a period of more than 15 years has passed since receiving the permit</w:t>
      </w:r>
      <w:r w:rsidR="003874E3">
        <w:rPr>
          <w:rFonts w:ascii="Times New Roman" w:hAnsi="Times New Roman" w:cs="Times New Roman"/>
          <w:lang w:bidi="he-IL"/>
        </w:rPr>
        <w:t>;</w:t>
      </w:r>
    </w:p>
    <w:p w14:paraId="42A34C5B" w14:textId="49F19DE8" w:rsidR="00332F01" w:rsidRPr="007E48AB" w:rsidRDefault="00332F01" w:rsidP="0047251A">
      <w:pPr>
        <w:pStyle w:val="ListParagraph"/>
        <w:numPr>
          <w:ilvl w:val="0"/>
          <w:numId w:val="14"/>
        </w:numPr>
        <w:spacing w:before="240" w:after="240" w:line="269" w:lineRule="auto"/>
        <w:ind w:left="1890" w:right="720"/>
        <w:jc w:val="both"/>
        <w:rPr>
          <w:rFonts w:ascii="Times New Roman" w:hAnsi="Times New Roman" w:cs="Times New Roman"/>
          <w:lang w:bidi="he-IL"/>
        </w:rPr>
      </w:pPr>
      <w:r w:rsidRPr="007E48AB">
        <w:rPr>
          <w:rFonts w:ascii="Times New Roman" w:hAnsi="Times New Roman" w:cs="Times New Roman"/>
          <w:lang w:bidi="he-IL"/>
        </w:rPr>
        <w:t>At the time of his/her birth, one of his/her parents were carrying a permanent residenc</w:t>
      </w:r>
      <w:r w:rsidR="003A1749">
        <w:rPr>
          <w:rFonts w:ascii="Times New Roman" w:hAnsi="Times New Roman" w:cs="Times New Roman"/>
          <w:lang w:bidi="he-IL"/>
        </w:rPr>
        <w:t>y</w:t>
      </w:r>
      <w:r w:rsidRPr="007E48AB">
        <w:rPr>
          <w:rFonts w:ascii="Times New Roman" w:hAnsi="Times New Roman" w:cs="Times New Roman"/>
          <w:lang w:bidi="he-IL"/>
        </w:rPr>
        <w:t xml:space="preserve"> permit.</w:t>
      </w:r>
    </w:p>
    <w:p w14:paraId="0DB50C8A" w14:textId="5E507D8C" w:rsidR="00332F01" w:rsidRPr="007E48AB" w:rsidRDefault="00332F01" w:rsidP="0047251A">
      <w:pPr>
        <w:spacing w:before="240" w:after="240" w:line="269" w:lineRule="auto"/>
        <w:ind w:left="1530" w:right="720" w:hanging="360"/>
        <w:jc w:val="both"/>
        <w:rPr>
          <w:rFonts w:ascii="Times New Roman" w:hAnsi="Times New Roman" w:cs="Times New Roman"/>
          <w:lang w:bidi="he-IL"/>
        </w:rPr>
      </w:pPr>
      <w:r w:rsidRPr="007E48AB">
        <w:rPr>
          <w:rFonts w:ascii="Times New Roman" w:hAnsi="Times New Roman" w:cs="Times New Roman"/>
          <w:lang w:bidi="he-IL"/>
        </w:rPr>
        <w:t>(b) If the Minister of Interior decides to cancel a [permanent residenc</w:t>
      </w:r>
      <w:r w:rsidR="003A1749">
        <w:rPr>
          <w:rFonts w:ascii="Times New Roman" w:hAnsi="Times New Roman" w:cs="Times New Roman"/>
          <w:lang w:bidi="he-IL"/>
        </w:rPr>
        <w:t>y</w:t>
      </w:r>
      <w:r w:rsidRPr="007E48AB">
        <w:rPr>
          <w:rFonts w:ascii="Times New Roman" w:hAnsi="Times New Roman" w:cs="Times New Roman"/>
          <w:lang w:bidi="he-IL"/>
        </w:rPr>
        <w:t>] permit according to this article’s provisions and sees that, after the revocation of the permit, that person will remain without a permanent residenc</w:t>
      </w:r>
      <w:r w:rsidR="003A1749">
        <w:rPr>
          <w:rFonts w:ascii="Times New Roman" w:hAnsi="Times New Roman" w:cs="Times New Roman"/>
          <w:lang w:bidi="he-IL"/>
        </w:rPr>
        <w:t>y</w:t>
      </w:r>
      <w:r w:rsidRPr="007E48AB">
        <w:rPr>
          <w:rFonts w:ascii="Times New Roman" w:hAnsi="Times New Roman" w:cs="Times New Roman"/>
          <w:lang w:bidi="he-IL"/>
        </w:rPr>
        <w:t xml:space="preserve"> permit outside of Israel and without being entitled to any citizenship or permanent residenc</w:t>
      </w:r>
      <w:r w:rsidR="003A1749">
        <w:rPr>
          <w:rFonts w:ascii="Times New Roman" w:hAnsi="Times New Roman" w:cs="Times New Roman"/>
          <w:lang w:bidi="he-IL"/>
        </w:rPr>
        <w:t>y</w:t>
      </w:r>
      <w:r w:rsidRPr="007E48AB">
        <w:rPr>
          <w:rFonts w:ascii="Times New Roman" w:hAnsi="Times New Roman" w:cs="Times New Roman"/>
          <w:lang w:bidi="he-IL"/>
        </w:rPr>
        <w:t xml:space="preserve"> outside of Israel s/he will be given (parallel to the decision of cancelling the permit) a residenc</w:t>
      </w:r>
      <w:r w:rsidR="003A1749">
        <w:rPr>
          <w:rFonts w:ascii="Times New Roman" w:hAnsi="Times New Roman" w:cs="Times New Roman"/>
          <w:lang w:bidi="he-IL"/>
        </w:rPr>
        <w:t>y</w:t>
      </w:r>
      <w:r w:rsidRPr="007E48AB">
        <w:rPr>
          <w:rFonts w:ascii="Times New Roman" w:hAnsi="Times New Roman" w:cs="Times New Roman"/>
          <w:lang w:bidi="he-IL"/>
        </w:rPr>
        <w:t xml:space="preserve"> permit in Israel whereas, according to this subsection, whoever resides permanently outside of Israel is not considered without the right to obtain a permanent residenc</w:t>
      </w:r>
      <w:r w:rsidR="003A1749">
        <w:rPr>
          <w:rFonts w:ascii="Times New Roman" w:hAnsi="Times New Roman" w:cs="Times New Roman"/>
          <w:lang w:bidi="he-IL"/>
        </w:rPr>
        <w:t>y</w:t>
      </w:r>
      <w:r w:rsidRPr="007E48AB">
        <w:rPr>
          <w:rFonts w:ascii="Times New Roman" w:hAnsi="Times New Roman" w:cs="Times New Roman"/>
          <w:lang w:bidi="he-IL"/>
        </w:rPr>
        <w:t xml:space="preserve"> outside of Israel and is not considered without a citizenship. </w:t>
      </w:r>
    </w:p>
    <w:p w14:paraId="75AEB690" w14:textId="3C3A2254" w:rsidR="00332F01" w:rsidRPr="007E48AB" w:rsidRDefault="00332F01" w:rsidP="0047251A">
      <w:pPr>
        <w:spacing w:before="240" w:after="240" w:line="269" w:lineRule="auto"/>
        <w:ind w:left="1530" w:right="720" w:hanging="360"/>
        <w:jc w:val="both"/>
        <w:rPr>
          <w:rFonts w:ascii="Times New Roman" w:hAnsi="Times New Roman" w:cs="Times New Roman"/>
          <w:lang w:bidi="he-IL"/>
        </w:rPr>
      </w:pPr>
      <w:r w:rsidRPr="007E48AB">
        <w:rPr>
          <w:rFonts w:ascii="Times New Roman" w:hAnsi="Times New Roman" w:cs="Times New Roman"/>
          <w:lang w:bidi="he-IL"/>
        </w:rPr>
        <w:t xml:space="preserve">(c) </w:t>
      </w:r>
      <w:r w:rsidR="00964188">
        <w:rPr>
          <w:rFonts w:ascii="Times New Roman" w:hAnsi="Times New Roman" w:cs="Times New Roman"/>
          <w:lang w:bidi="he-IL"/>
        </w:rPr>
        <w:t xml:space="preserve"> </w:t>
      </w:r>
      <w:r w:rsidRPr="007E48AB">
        <w:rPr>
          <w:rFonts w:ascii="Times New Roman" w:hAnsi="Times New Roman" w:cs="Times New Roman"/>
          <w:lang w:bidi="he-IL"/>
        </w:rPr>
        <w:t xml:space="preserve">If a person whose permit was cancelled based on this article filed an administrative petition at the Administrative Affairs Court regarding the decision of the Minister of Interior, the Minister will allow him/her to enter Israel until the final examination of the procedures which emanated from the Minister’s decision, </w:t>
      </w:r>
      <w:r w:rsidRPr="007E48AB">
        <w:rPr>
          <w:rFonts w:ascii="Times New Roman" w:hAnsi="Times New Roman" w:cs="Times New Roman"/>
          <w:lang w:bidi="he-IL"/>
        </w:rPr>
        <w:lastRenderedPageBreak/>
        <w:t>except if</w:t>
      </w:r>
      <w:r w:rsidR="00827423">
        <w:rPr>
          <w:rFonts w:ascii="Times New Roman" w:hAnsi="Times New Roman" w:cs="Times New Roman"/>
          <w:lang w:bidi="he-IL"/>
        </w:rPr>
        <w:t xml:space="preserve"> it</w:t>
      </w:r>
      <w:r w:rsidRPr="007E48AB">
        <w:rPr>
          <w:rFonts w:ascii="Times New Roman" w:hAnsi="Times New Roman" w:cs="Times New Roman"/>
          <w:lang w:bidi="he-IL"/>
        </w:rPr>
        <w:t xml:space="preserve"> was proven that his/her entry into Israel poses a real danger to the security of the state or the well-being of the public.</w:t>
      </w:r>
    </w:p>
    <w:p w14:paraId="4A9EA780" w14:textId="0D2E0775" w:rsidR="00332F01" w:rsidRPr="007E48AB" w:rsidRDefault="00332F01" w:rsidP="0047251A">
      <w:pPr>
        <w:spacing w:before="240" w:after="240" w:line="269" w:lineRule="auto"/>
        <w:ind w:left="1530" w:right="720" w:hanging="360"/>
        <w:jc w:val="both"/>
        <w:rPr>
          <w:rFonts w:ascii="Times New Roman" w:hAnsi="Times New Roman" w:cs="Times New Roman"/>
          <w:lang w:bidi="he-IL"/>
        </w:rPr>
      </w:pPr>
      <w:r w:rsidRPr="007E48AB">
        <w:rPr>
          <w:rFonts w:ascii="Times New Roman" w:hAnsi="Times New Roman" w:cs="Times New Roman"/>
          <w:lang w:bidi="he-IL"/>
        </w:rPr>
        <w:t xml:space="preserve">(d) </w:t>
      </w:r>
      <w:r w:rsidR="00964188">
        <w:rPr>
          <w:rFonts w:ascii="Times New Roman" w:hAnsi="Times New Roman" w:cs="Times New Roman"/>
          <w:lang w:bidi="he-IL"/>
        </w:rPr>
        <w:t xml:space="preserve"> </w:t>
      </w:r>
      <w:r w:rsidR="004C138A">
        <w:rPr>
          <w:rFonts w:ascii="Times New Roman" w:hAnsi="Times New Roman" w:cs="Times New Roman"/>
          <w:lang w:bidi="he-IL"/>
        </w:rPr>
        <w:t>In this A</w:t>
      </w:r>
      <w:r w:rsidRPr="007E48AB">
        <w:rPr>
          <w:rFonts w:ascii="Times New Roman" w:hAnsi="Times New Roman" w:cs="Times New Roman"/>
          <w:lang w:bidi="he-IL"/>
        </w:rPr>
        <w:t>rticle, a “Breach of Loyalty to the State of Israel” can mean any of the following:</w:t>
      </w:r>
    </w:p>
    <w:p w14:paraId="438CB6A3" w14:textId="39E31C80" w:rsidR="00332F01" w:rsidRPr="007E48AB" w:rsidRDefault="00332F01" w:rsidP="0047251A">
      <w:pPr>
        <w:pStyle w:val="ListParagraph"/>
        <w:numPr>
          <w:ilvl w:val="0"/>
          <w:numId w:val="16"/>
        </w:numPr>
        <w:spacing w:before="240" w:after="240" w:line="269" w:lineRule="auto"/>
        <w:ind w:left="1886" w:right="720"/>
        <w:contextualSpacing w:val="0"/>
        <w:jc w:val="both"/>
        <w:rPr>
          <w:rFonts w:ascii="Times New Roman" w:hAnsi="Times New Roman" w:cs="Times New Roman"/>
          <w:lang w:bidi="he-IL"/>
        </w:rPr>
      </w:pPr>
      <w:r w:rsidRPr="007E48AB">
        <w:rPr>
          <w:rFonts w:ascii="Times New Roman" w:hAnsi="Times New Roman" w:cs="Times New Roman"/>
          <w:lang w:bidi="he-IL"/>
        </w:rPr>
        <w:t>A terrorist act as defined in the Counter-Terrorism Law of 2016</w:t>
      </w:r>
      <w:r w:rsidRPr="007E48AB">
        <w:rPr>
          <w:rStyle w:val="FootnoteReference"/>
          <w:rFonts w:ascii="Times New Roman" w:hAnsi="Times New Roman" w:cs="Times New Roman"/>
          <w:lang w:bidi="he-IL"/>
        </w:rPr>
        <w:footnoteReference w:id="13"/>
      </w:r>
      <w:r w:rsidRPr="007E48AB">
        <w:rPr>
          <w:rFonts w:ascii="Times New Roman" w:hAnsi="Times New Roman" w:cs="Times New Roman"/>
          <w:lang w:bidi="he-IL"/>
        </w:rPr>
        <w:t xml:space="preserve"> [5776], or the assistance or incitement of terrorism, or the active participation in a terrorist group or a group which fits the definition of a terrorist group according to the aforementioned law;</w:t>
      </w:r>
    </w:p>
    <w:p w14:paraId="34B7CA5F" w14:textId="28E11EC9" w:rsidR="00332F01" w:rsidRPr="007E48AB" w:rsidRDefault="00332F01" w:rsidP="00827423">
      <w:pPr>
        <w:pStyle w:val="ListParagraph"/>
        <w:numPr>
          <w:ilvl w:val="0"/>
          <w:numId w:val="16"/>
        </w:numPr>
        <w:spacing w:before="240" w:after="240" w:line="269" w:lineRule="auto"/>
        <w:ind w:left="1890" w:right="720"/>
        <w:jc w:val="both"/>
        <w:rPr>
          <w:rFonts w:ascii="Times New Roman" w:hAnsi="Times New Roman" w:cs="Times New Roman"/>
          <w:lang w:bidi="he-IL"/>
        </w:rPr>
      </w:pPr>
      <w:r w:rsidRPr="007E48AB">
        <w:rPr>
          <w:rFonts w:ascii="Times New Roman" w:hAnsi="Times New Roman" w:cs="Times New Roman"/>
          <w:lang w:bidi="he-IL"/>
        </w:rPr>
        <w:t xml:space="preserve">An act which constitutes </w:t>
      </w:r>
      <w:r w:rsidR="008D19F5">
        <w:rPr>
          <w:rFonts w:ascii="Times New Roman" w:hAnsi="Times New Roman" w:cs="Times New Roman"/>
          <w:lang w:bidi="he-IL"/>
        </w:rPr>
        <w:t>t</w:t>
      </w:r>
      <w:r w:rsidRPr="007E48AB">
        <w:rPr>
          <w:rFonts w:ascii="Times New Roman" w:hAnsi="Times New Roman" w:cs="Times New Roman"/>
          <w:lang w:bidi="he-IL"/>
        </w:rPr>
        <w:t xml:space="preserve">reason </w:t>
      </w:r>
      <w:r w:rsidR="00827423">
        <w:rPr>
          <w:rFonts w:ascii="Times New Roman" w:hAnsi="Times New Roman" w:cs="Times New Roman"/>
          <w:lang w:bidi="he-IL"/>
        </w:rPr>
        <w:t>within the meaning of A</w:t>
      </w:r>
      <w:r w:rsidRPr="007E48AB">
        <w:rPr>
          <w:rFonts w:ascii="Times New Roman" w:hAnsi="Times New Roman" w:cs="Times New Roman"/>
          <w:lang w:bidi="he-IL"/>
        </w:rPr>
        <w:t>rticles 97 to 99 of the Israeli Penal Law of 1977 [5737],</w:t>
      </w:r>
      <w:r w:rsidR="008D19F5">
        <w:rPr>
          <w:rFonts w:ascii="Times New Roman" w:hAnsi="Times New Roman" w:cs="Times New Roman"/>
          <w:lang w:bidi="he-IL"/>
        </w:rPr>
        <w:t xml:space="preserve"> </w:t>
      </w:r>
      <w:r w:rsidRPr="007E48AB">
        <w:rPr>
          <w:rFonts w:ascii="Times New Roman" w:hAnsi="Times New Roman" w:cs="Times New Roman"/>
          <w:lang w:bidi="he-IL"/>
        </w:rPr>
        <w:t xml:space="preserve">or </w:t>
      </w:r>
      <w:r w:rsidR="008D19F5">
        <w:rPr>
          <w:rFonts w:ascii="Times New Roman" w:hAnsi="Times New Roman" w:cs="Times New Roman"/>
          <w:lang w:bidi="he-IL"/>
        </w:rPr>
        <w:t>a</w:t>
      </w:r>
      <w:r w:rsidRPr="007E48AB">
        <w:rPr>
          <w:rFonts w:ascii="Times New Roman" w:hAnsi="Times New Roman" w:cs="Times New Roman"/>
          <w:lang w:bidi="he-IL"/>
        </w:rPr>
        <w:t xml:space="preserve">ggravated </w:t>
      </w:r>
      <w:r w:rsidR="008D19F5">
        <w:rPr>
          <w:rFonts w:ascii="Times New Roman" w:hAnsi="Times New Roman" w:cs="Times New Roman"/>
          <w:lang w:bidi="he-IL"/>
        </w:rPr>
        <w:t>e</w:t>
      </w:r>
      <w:r w:rsidRPr="007E48AB">
        <w:rPr>
          <w:rFonts w:ascii="Times New Roman" w:hAnsi="Times New Roman" w:cs="Times New Roman"/>
          <w:lang w:bidi="he-IL"/>
        </w:rPr>
        <w:t>spionage according to Article 113(b) of this law</w:t>
      </w:r>
      <w:r w:rsidR="008D19F5">
        <w:rPr>
          <w:rFonts w:ascii="Times New Roman" w:hAnsi="Times New Roman" w:cs="Times New Roman"/>
          <w:lang w:bidi="he-IL"/>
        </w:rPr>
        <w:t>.”</w:t>
      </w:r>
    </w:p>
    <w:p w14:paraId="2807606F" w14:textId="4521E45F" w:rsidR="00332F01" w:rsidRPr="007E48AB" w:rsidRDefault="00332F01" w:rsidP="0047251A">
      <w:pPr>
        <w:spacing w:before="240" w:after="240" w:line="269" w:lineRule="auto"/>
        <w:ind w:left="720" w:right="720"/>
        <w:jc w:val="both"/>
        <w:rPr>
          <w:rFonts w:ascii="Times New Roman" w:hAnsi="Times New Roman" w:cs="Times New Roman"/>
          <w:lang w:bidi="he-IL"/>
        </w:rPr>
      </w:pPr>
      <w:r w:rsidRPr="007E48AB">
        <w:rPr>
          <w:rFonts w:ascii="Times New Roman" w:hAnsi="Times New Roman" w:cs="Times New Roman"/>
          <w:lang w:bidi="he-IL"/>
        </w:rPr>
        <w:t xml:space="preserve">2. In the </w:t>
      </w:r>
      <w:r w:rsidR="00AA3B41">
        <w:rPr>
          <w:rFonts w:ascii="Times New Roman" w:hAnsi="Times New Roman" w:cs="Times New Roman"/>
          <w:lang w:bidi="he-IL"/>
        </w:rPr>
        <w:t>a</w:t>
      </w:r>
      <w:r w:rsidR="00827423">
        <w:rPr>
          <w:rFonts w:ascii="Times New Roman" w:hAnsi="Times New Roman" w:cs="Times New Roman"/>
          <w:lang w:bidi="he-IL"/>
        </w:rPr>
        <w:t>ddition to the Main L</w:t>
      </w:r>
      <w:r w:rsidRPr="007E48AB">
        <w:rPr>
          <w:rFonts w:ascii="Times New Roman" w:hAnsi="Times New Roman" w:cs="Times New Roman"/>
          <w:lang w:bidi="he-IL"/>
        </w:rPr>
        <w:t>aw, at the end of clause (1) shall come the words “except for a decision made in</w:t>
      </w:r>
      <w:r w:rsidR="00672F64">
        <w:rPr>
          <w:rFonts w:ascii="Times New Roman" w:hAnsi="Times New Roman" w:cs="Times New Roman"/>
          <w:lang w:bidi="he-IL"/>
        </w:rPr>
        <w:t xml:space="preserve"> accordance with Article 11(a).”</w:t>
      </w:r>
    </w:p>
    <w:p w14:paraId="1F639163" w14:textId="77777777" w:rsidR="008D19F5" w:rsidRDefault="008D19F5" w:rsidP="0047251A">
      <w:pPr>
        <w:spacing w:before="240" w:after="240" w:line="269" w:lineRule="auto"/>
        <w:ind w:left="720" w:right="720"/>
        <w:jc w:val="both"/>
        <w:rPr>
          <w:rFonts w:ascii="Times New Roman" w:hAnsi="Times New Roman" w:cs="Times New Roman"/>
          <w:b/>
          <w:bCs/>
          <w:lang w:bidi="he-IL"/>
        </w:rPr>
      </w:pPr>
    </w:p>
    <w:p w14:paraId="3E0B428A" w14:textId="49CD3E15" w:rsidR="00332F01" w:rsidRPr="007E48AB" w:rsidRDefault="00332F01" w:rsidP="0047251A">
      <w:pPr>
        <w:spacing w:before="240" w:after="240" w:line="269" w:lineRule="auto"/>
        <w:ind w:left="720" w:right="720"/>
        <w:jc w:val="both"/>
        <w:rPr>
          <w:rFonts w:ascii="Times New Roman" w:hAnsi="Times New Roman" w:cs="Times New Roman"/>
          <w:b/>
          <w:bCs/>
          <w:lang w:bidi="he-IL"/>
        </w:rPr>
      </w:pPr>
      <w:r w:rsidRPr="007E48AB">
        <w:rPr>
          <w:rFonts w:ascii="Times New Roman" w:hAnsi="Times New Roman" w:cs="Times New Roman"/>
          <w:b/>
          <w:bCs/>
          <w:lang w:bidi="he-IL"/>
        </w:rPr>
        <w:t xml:space="preserve">Benjamin Netanyahu            </w:t>
      </w:r>
      <w:r w:rsidR="00E56E78" w:rsidRPr="00E56E78">
        <w:rPr>
          <w:rFonts w:ascii="Times New Roman" w:hAnsi="Times New Roman" w:cs="Times New Roman"/>
          <w:b/>
          <w:bCs/>
          <w:lang w:bidi="he-IL"/>
        </w:rPr>
        <w:tab/>
      </w:r>
      <w:r w:rsidR="00E56E78" w:rsidRPr="00E56E78">
        <w:rPr>
          <w:rFonts w:ascii="Times New Roman" w:hAnsi="Times New Roman" w:cs="Times New Roman"/>
          <w:b/>
          <w:bCs/>
          <w:lang w:bidi="he-IL"/>
        </w:rPr>
        <w:tab/>
      </w:r>
      <w:r w:rsidR="00E56E78" w:rsidRPr="00E56E78">
        <w:rPr>
          <w:rFonts w:ascii="Times New Roman" w:hAnsi="Times New Roman" w:cs="Times New Roman"/>
          <w:b/>
          <w:bCs/>
          <w:lang w:bidi="he-IL"/>
        </w:rPr>
        <w:tab/>
      </w:r>
      <w:r w:rsidR="00E56E78" w:rsidRPr="00E56E78">
        <w:rPr>
          <w:rFonts w:ascii="Times New Roman" w:hAnsi="Times New Roman" w:cs="Times New Roman"/>
          <w:b/>
          <w:bCs/>
          <w:lang w:bidi="he-IL"/>
        </w:rPr>
        <w:tab/>
      </w:r>
      <w:r w:rsidRPr="007E48AB">
        <w:rPr>
          <w:rFonts w:ascii="Times New Roman" w:hAnsi="Times New Roman" w:cs="Times New Roman"/>
          <w:b/>
          <w:bCs/>
          <w:lang w:bidi="he-IL"/>
        </w:rPr>
        <w:t xml:space="preserve">         Aryeh Makhlouf Deri</w:t>
      </w:r>
    </w:p>
    <w:p w14:paraId="51047529" w14:textId="53B79801" w:rsidR="00332F01" w:rsidRPr="007E48AB" w:rsidRDefault="00332F01" w:rsidP="0047251A">
      <w:pPr>
        <w:spacing w:before="240" w:after="240" w:line="269" w:lineRule="auto"/>
        <w:ind w:left="720" w:right="720"/>
        <w:jc w:val="both"/>
        <w:rPr>
          <w:rFonts w:ascii="Times New Roman" w:hAnsi="Times New Roman" w:cs="Times New Roman"/>
          <w:b/>
          <w:bCs/>
          <w:lang w:bidi="he-IL"/>
        </w:rPr>
      </w:pPr>
      <w:r w:rsidRPr="007E48AB">
        <w:rPr>
          <w:rFonts w:ascii="Times New Roman" w:hAnsi="Times New Roman" w:cs="Times New Roman"/>
          <w:b/>
          <w:bCs/>
          <w:lang w:bidi="he-IL"/>
        </w:rPr>
        <w:t xml:space="preserve">Prime Minister                  </w:t>
      </w:r>
      <w:r w:rsidR="00E56E78" w:rsidRPr="00E56E78">
        <w:rPr>
          <w:rFonts w:ascii="Times New Roman" w:hAnsi="Times New Roman" w:cs="Times New Roman"/>
          <w:b/>
          <w:bCs/>
          <w:lang w:bidi="he-IL"/>
        </w:rPr>
        <w:tab/>
      </w:r>
      <w:r w:rsidR="00E56E78" w:rsidRPr="00E56E78">
        <w:rPr>
          <w:rFonts w:ascii="Times New Roman" w:hAnsi="Times New Roman" w:cs="Times New Roman"/>
          <w:b/>
          <w:bCs/>
          <w:lang w:bidi="he-IL"/>
        </w:rPr>
        <w:tab/>
      </w:r>
      <w:r w:rsidR="00E56E78" w:rsidRPr="00E56E78">
        <w:rPr>
          <w:rFonts w:ascii="Times New Roman" w:hAnsi="Times New Roman" w:cs="Times New Roman"/>
          <w:b/>
          <w:bCs/>
          <w:lang w:bidi="he-IL"/>
        </w:rPr>
        <w:tab/>
        <w:t xml:space="preserve">        </w:t>
      </w:r>
      <w:r w:rsidRPr="007E48AB">
        <w:rPr>
          <w:rFonts w:ascii="Times New Roman" w:hAnsi="Times New Roman" w:cs="Times New Roman"/>
          <w:b/>
          <w:bCs/>
          <w:lang w:bidi="he-IL"/>
        </w:rPr>
        <w:t xml:space="preserve">              Minister of Interior</w:t>
      </w:r>
    </w:p>
    <w:p w14:paraId="330F753F" w14:textId="77777777" w:rsidR="00332F01" w:rsidRPr="007E48AB" w:rsidRDefault="00332F01" w:rsidP="0047251A">
      <w:pPr>
        <w:spacing w:before="240" w:after="240" w:line="269" w:lineRule="auto"/>
        <w:ind w:left="720" w:right="720"/>
        <w:jc w:val="both"/>
        <w:rPr>
          <w:rFonts w:ascii="Times New Roman" w:hAnsi="Times New Roman" w:cs="Times New Roman"/>
          <w:b/>
          <w:bCs/>
          <w:lang w:bidi="he-IL"/>
        </w:rPr>
      </w:pPr>
    </w:p>
    <w:p w14:paraId="7311B312" w14:textId="40957A59" w:rsidR="00332F01" w:rsidRPr="007E48AB" w:rsidRDefault="00332F01" w:rsidP="0047251A">
      <w:pPr>
        <w:spacing w:before="240" w:after="240" w:line="269" w:lineRule="auto"/>
        <w:ind w:left="720" w:right="720"/>
        <w:jc w:val="both"/>
        <w:rPr>
          <w:rFonts w:ascii="Times New Roman" w:hAnsi="Times New Roman" w:cs="Times New Roman"/>
          <w:b/>
          <w:bCs/>
          <w:lang w:bidi="he-IL"/>
        </w:rPr>
      </w:pPr>
      <w:r w:rsidRPr="007E48AB">
        <w:rPr>
          <w:rFonts w:ascii="Times New Roman" w:hAnsi="Times New Roman" w:cs="Times New Roman"/>
          <w:b/>
          <w:bCs/>
          <w:lang w:bidi="he-IL"/>
        </w:rPr>
        <w:t xml:space="preserve">Reuven Rivlin                                </w:t>
      </w:r>
      <w:r w:rsidR="00E56E78" w:rsidRPr="00E56E78">
        <w:rPr>
          <w:rFonts w:ascii="Times New Roman" w:hAnsi="Times New Roman" w:cs="Times New Roman"/>
          <w:b/>
          <w:bCs/>
          <w:lang w:bidi="he-IL"/>
        </w:rPr>
        <w:tab/>
      </w:r>
      <w:r w:rsidR="00E56E78" w:rsidRPr="00E56E78">
        <w:rPr>
          <w:rFonts w:ascii="Times New Roman" w:hAnsi="Times New Roman" w:cs="Times New Roman"/>
          <w:b/>
          <w:bCs/>
          <w:lang w:bidi="he-IL"/>
        </w:rPr>
        <w:tab/>
      </w:r>
      <w:r w:rsidR="00E56E78" w:rsidRPr="00E56E78">
        <w:rPr>
          <w:rFonts w:ascii="Times New Roman" w:hAnsi="Times New Roman" w:cs="Times New Roman"/>
          <w:b/>
          <w:bCs/>
          <w:lang w:bidi="he-IL"/>
        </w:rPr>
        <w:tab/>
        <w:t xml:space="preserve">        </w:t>
      </w:r>
      <w:r w:rsidRPr="007E48AB">
        <w:rPr>
          <w:rFonts w:ascii="Times New Roman" w:hAnsi="Times New Roman" w:cs="Times New Roman"/>
          <w:b/>
          <w:bCs/>
          <w:lang w:bidi="he-IL"/>
        </w:rPr>
        <w:t>Yuli-Yoel Edelstein</w:t>
      </w:r>
    </w:p>
    <w:p w14:paraId="4453F559" w14:textId="43871C7F" w:rsidR="008A0685" w:rsidRPr="00F35592" w:rsidRDefault="00332F01" w:rsidP="0047251A">
      <w:pPr>
        <w:spacing w:before="240" w:after="240" w:line="269" w:lineRule="auto"/>
        <w:ind w:left="720" w:right="720"/>
        <w:jc w:val="both"/>
        <w:rPr>
          <w:rFonts w:asciiTheme="majorBidi" w:eastAsia="Times New Roman" w:hAnsiTheme="majorBidi" w:cstheme="majorBidi"/>
          <w:b/>
          <w:bCs/>
          <w:color w:val="000000"/>
          <w:sz w:val="24"/>
          <w:szCs w:val="24"/>
        </w:rPr>
      </w:pPr>
      <w:r w:rsidRPr="007E48AB">
        <w:rPr>
          <w:rFonts w:ascii="Times New Roman" w:hAnsi="Times New Roman" w:cs="Times New Roman"/>
          <w:b/>
          <w:bCs/>
          <w:lang w:bidi="he-IL"/>
        </w:rPr>
        <w:t xml:space="preserve">President of the State                </w:t>
      </w:r>
      <w:r w:rsidR="002B2421" w:rsidRPr="007E48AB">
        <w:rPr>
          <w:rFonts w:ascii="Times New Roman" w:hAnsi="Times New Roman" w:cs="Times New Roman"/>
          <w:b/>
          <w:bCs/>
          <w:lang w:bidi="he-IL"/>
        </w:rPr>
        <w:t xml:space="preserve">  </w:t>
      </w:r>
      <w:r w:rsidR="00E56E78" w:rsidRPr="00E56E78">
        <w:rPr>
          <w:rFonts w:ascii="Times New Roman" w:hAnsi="Times New Roman" w:cs="Times New Roman"/>
          <w:b/>
          <w:bCs/>
          <w:lang w:bidi="he-IL"/>
        </w:rPr>
        <w:t xml:space="preserve">                                            </w:t>
      </w:r>
      <w:r w:rsidR="002B2421" w:rsidRPr="007E48AB">
        <w:rPr>
          <w:rFonts w:ascii="Times New Roman" w:hAnsi="Times New Roman" w:cs="Times New Roman"/>
          <w:b/>
          <w:bCs/>
          <w:lang w:bidi="he-IL"/>
        </w:rPr>
        <w:t xml:space="preserve"> </w:t>
      </w:r>
      <w:r w:rsidRPr="007E48AB">
        <w:rPr>
          <w:rFonts w:ascii="Times New Roman" w:hAnsi="Times New Roman" w:cs="Times New Roman"/>
          <w:b/>
          <w:bCs/>
          <w:lang w:bidi="he-IL"/>
        </w:rPr>
        <w:t>Speaker of the Knesset</w:t>
      </w:r>
    </w:p>
    <w:sectPr w:rsidR="008A0685" w:rsidRPr="00F35592" w:rsidSect="007E6233">
      <w:headerReference w:type="default" r:id="rId14"/>
      <w:footerReference w:type="default" r:id="rId1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8A9C1" w14:textId="77777777" w:rsidR="009F2E66" w:rsidRDefault="009F2E66">
      <w:pPr>
        <w:spacing w:line="240" w:lineRule="auto"/>
      </w:pPr>
      <w:r>
        <w:separator/>
      </w:r>
    </w:p>
  </w:endnote>
  <w:endnote w:type="continuationSeparator" w:id="0">
    <w:p w14:paraId="2EECA127" w14:textId="77777777" w:rsidR="009F2E66" w:rsidRDefault="009F2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34795" w14:textId="77777777" w:rsidR="00176290" w:rsidRPr="007E3457" w:rsidRDefault="00176290">
    <w:pPr>
      <w:pBdr>
        <w:top w:val="nil"/>
        <w:left w:val="nil"/>
        <w:bottom w:val="nil"/>
        <w:right w:val="nil"/>
        <w:between w:val="nil"/>
      </w:pBdr>
      <w:tabs>
        <w:tab w:val="center" w:pos="4320"/>
        <w:tab w:val="right" w:pos="8640"/>
      </w:tabs>
      <w:spacing w:after="80" w:line="240" w:lineRule="auto"/>
      <w:jc w:val="right"/>
      <w:rPr>
        <w:rFonts w:ascii="Times New Roman" w:hAnsi="Times New Roman" w:cs="Times New Roman"/>
        <w:color w:val="000000"/>
      </w:rPr>
    </w:pPr>
    <w:r w:rsidRPr="007E3457">
      <w:rPr>
        <w:rFonts w:ascii="Times New Roman" w:hAnsi="Times New Roman" w:cs="Times New Roman"/>
        <w:color w:val="000000"/>
      </w:rPr>
      <w:fldChar w:fldCharType="begin"/>
    </w:r>
    <w:r w:rsidRPr="007E3457">
      <w:rPr>
        <w:rFonts w:ascii="Times New Roman" w:hAnsi="Times New Roman" w:cs="Times New Roman"/>
        <w:color w:val="000000"/>
      </w:rPr>
      <w:instrText>PAGE</w:instrText>
    </w:r>
    <w:r w:rsidRPr="007E3457">
      <w:rPr>
        <w:rFonts w:ascii="Times New Roman" w:hAnsi="Times New Roman" w:cs="Times New Roman"/>
        <w:color w:val="000000"/>
      </w:rPr>
      <w:fldChar w:fldCharType="separate"/>
    </w:r>
    <w:r w:rsidR="00C41468">
      <w:rPr>
        <w:rFonts w:ascii="Times New Roman" w:hAnsi="Times New Roman" w:cs="Times New Roman"/>
        <w:noProof/>
        <w:color w:val="000000"/>
      </w:rPr>
      <w:t>1</w:t>
    </w:r>
    <w:r w:rsidRPr="007E3457">
      <w:rPr>
        <w:rFonts w:ascii="Times New Roman" w:hAnsi="Times New Roman" w:cs="Times New Roman"/>
        <w:color w:val="000000"/>
      </w:rPr>
      <w:fldChar w:fldCharType="end"/>
    </w:r>
  </w:p>
  <w:p w14:paraId="0D8DDB26" w14:textId="77777777" w:rsidR="00176290" w:rsidRPr="007E3457" w:rsidRDefault="00176290">
    <w:pPr>
      <w:pBdr>
        <w:top w:val="nil"/>
        <w:left w:val="nil"/>
        <w:bottom w:val="nil"/>
        <w:right w:val="nil"/>
        <w:between w:val="nil"/>
      </w:pBdr>
      <w:tabs>
        <w:tab w:val="center" w:pos="4320"/>
        <w:tab w:val="right" w:pos="8640"/>
      </w:tabs>
      <w:spacing w:after="80" w:line="240" w:lineRule="auto"/>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B9CA7" w14:textId="77777777" w:rsidR="009F2E66" w:rsidRDefault="009F2E66">
      <w:pPr>
        <w:spacing w:line="240" w:lineRule="auto"/>
      </w:pPr>
      <w:r>
        <w:separator/>
      </w:r>
    </w:p>
  </w:footnote>
  <w:footnote w:type="continuationSeparator" w:id="0">
    <w:p w14:paraId="06E97EF2" w14:textId="77777777" w:rsidR="009F2E66" w:rsidRDefault="009F2E66">
      <w:pPr>
        <w:spacing w:line="240" w:lineRule="auto"/>
      </w:pPr>
      <w:r>
        <w:continuationSeparator/>
      </w:r>
    </w:p>
  </w:footnote>
  <w:footnote w:id="1">
    <w:p w14:paraId="1114719D" w14:textId="77777777" w:rsidR="00176290" w:rsidRPr="007056DE" w:rsidRDefault="00176290" w:rsidP="008D19F5">
      <w:pPr>
        <w:pBdr>
          <w:top w:val="nil"/>
          <w:left w:val="nil"/>
          <w:bottom w:val="nil"/>
          <w:right w:val="nil"/>
          <w:between w:val="nil"/>
        </w:pBdr>
        <w:spacing w:before="80" w:after="80" w:line="20" w:lineRule="atLeast"/>
        <w:rPr>
          <w:rFonts w:ascii="Times New Roman" w:eastAsia="Times New Roman" w:hAnsi="Times New Roman" w:cs="Times New Roman"/>
          <w:sz w:val="20"/>
          <w:szCs w:val="20"/>
        </w:rPr>
      </w:pPr>
      <w:r w:rsidRPr="00C36CCE">
        <w:rPr>
          <w:rFonts w:ascii="Times New Roman" w:hAnsi="Times New Roman" w:cs="Times New Roman"/>
          <w:sz w:val="20"/>
          <w:szCs w:val="20"/>
          <w:vertAlign w:val="superscript"/>
        </w:rPr>
        <w:footnoteRef/>
      </w:r>
      <w:r w:rsidRPr="00C36CCE">
        <w:rPr>
          <w:rFonts w:ascii="Times New Roman" w:eastAsia="Times New Roman" w:hAnsi="Times New Roman" w:cs="Times New Roman"/>
          <w:color w:val="000000"/>
          <w:sz w:val="20"/>
          <w:szCs w:val="20"/>
        </w:rPr>
        <w:t xml:space="preserve"> </w:t>
      </w:r>
      <w:r w:rsidRPr="00C36CCE">
        <w:rPr>
          <w:rFonts w:ascii="Times New Roman" w:eastAsia="Times New Roman" w:hAnsi="Times New Roman" w:cs="Times New Roman"/>
          <w:i/>
          <w:iCs/>
          <w:color w:val="000000"/>
          <w:sz w:val="20"/>
          <w:szCs w:val="20"/>
        </w:rPr>
        <w:t xml:space="preserve">See </w:t>
      </w:r>
      <w:r w:rsidRPr="00C36CCE">
        <w:rPr>
          <w:rFonts w:ascii="Times New Roman" w:eastAsia="Times New Roman" w:hAnsi="Times New Roman" w:cs="Times New Roman"/>
          <w:color w:val="000000"/>
          <w:sz w:val="20"/>
          <w:szCs w:val="20"/>
        </w:rPr>
        <w:t xml:space="preserve">tweet by Israeli Interior Minister, Arye Deri, dated 6 October 2019, at 7:34 pm, stating: “[t]onight, I instructed the Population and Immigration Authority to prepare an opinion to revoke the residency in Israel of Omar Barghouti, founder of the boycott movement against Israel. This is a man who works to harm the country… so he must not enjoy the right to be a resident of Israel” (informal translation from Hebrew original), available at: </w:t>
      </w:r>
      <w:hyperlink r:id="rId1" w:history="1">
        <w:r w:rsidRPr="00C36CCE">
          <w:rPr>
            <w:rStyle w:val="Hyperlink"/>
            <w:rFonts w:ascii="Times New Roman" w:eastAsia="Times New Roman" w:hAnsi="Times New Roman" w:cs="Times New Roman"/>
            <w:sz w:val="20"/>
            <w:szCs w:val="20"/>
          </w:rPr>
          <w:t>https://twitter.com/ariyederi/status/1180884050749382656</w:t>
        </w:r>
      </w:hyperlink>
      <w:r w:rsidRPr="00C36CCE">
        <w:rPr>
          <w:rFonts w:ascii="Times New Roman" w:eastAsia="Times New Roman" w:hAnsi="Times New Roman" w:cs="Times New Roman"/>
          <w:color w:val="000000"/>
          <w:sz w:val="20"/>
          <w:szCs w:val="20"/>
        </w:rPr>
        <w:t>.</w:t>
      </w:r>
    </w:p>
  </w:footnote>
  <w:footnote w:id="2">
    <w:p w14:paraId="58576063" w14:textId="2FC379C1" w:rsidR="00176290" w:rsidRPr="007056DE" w:rsidRDefault="00176290" w:rsidP="00B86B3C">
      <w:pPr>
        <w:pBdr>
          <w:top w:val="nil"/>
          <w:left w:val="nil"/>
          <w:bottom w:val="nil"/>
          <w:right w:val="nil"/>
          <w:between w:val="nil"/>
        </w:pBdr>
        <w:spacing w:before="80" w:after="80" w:line="20" w:lineRule="atLeast"/>
        <w:rPr>
          <w:rFonts w:ascii="Times New Roman" w:eastAsia="Times New Roman" w:hAnsi="Times New Roman" w:cs="Times New Roman"/>
          <w:color w:val="000000"/>
          <w:sz w:val="20"/>
          <w:szCs w:val="20"/>
        </w:rPr>
      </w:pPr>
      <w:r w:rsidRPr="00C36CCE">
        <w:rPr>
          <w:rFonts w:ascii="Times New Roman" w:hAnsi="Times New Roman" w:cs="Times New Roman"/>
          <w:sz w:val="20"/>
          <w:szCs w:val="20"/>
          <w:vertAlign w:val="superscript"/>
        </w:rPr>
        <w:footnoteRef/>
      </w:r>
      <w:r w:rsidRPr="00C36CCE">
        <w:rPr>
          <w:rFonts w:ascii="Times New Roman" w:eastAsia="Times New Roman" w:hAnsi="Times New Roman" w:cs="Times New Roman"/>
          <w:color w:val="000000"/>
          <w:sz w:val="20"/>
          <w:szCs w:val="20"/>
        </w:rPr>
        <w:t xml:space="preserve"> </w:t>
      </w:r>
      <w:r w:rsidRPr="007056DE">
        <w:rPr>
          <w:rFonts w:ascii="Times New Roman" w:eastAsia="Times New Roman" w:hAnsi="Times New Roman" w:cs="Times New Roman"/>
          <w:i/>
          <w:iCs/>
          <w:color w:val="000000"/>
          <w:sz w:val="20"/>
          <w:szCs w:val="20"/>
        </w:rPr>
        <w:t xml:space="preserve">See </w:t>
      </w:r>
      <w:r w:rsidRPr="007056DE">
        <w:rPr>
          <w:rFonts w:ascii="Times New Roman" w:eastAsia="Times New Roman" w:hAnsi="Times New Roman" w:cs="Times New Roman"/>
          <w:color w:val="000000"/>
          <w:sz w:val="20"/>
          <w:szCs w:val="20"/>
        </w:rPr>
        <w:t xml:space="preserve">the response by Israel’s </w:t>
      </w:r>
      <w:r w:rsidRPr="005B0535">
        <w:rPr>
          <w:rFonts w:ascii="Times New Roman" w:eastAsia="Times New Roman" w:hAnsi="Times New Roman" w:cs="Times New Roman"/>
          <w:color w:val="000000"/>
          <w:sz w:val="20"/>
          <w:szCs w:val="20"/>
        </w:rPr>
        <w:t xml:space="preserve">Attorney-General to </w:t>
      </w:r>
      <w:r w:rsidRPr="00372272">
        <w:rPr>
          <w:rFonts w:ascii="Times New Roman" w:eastAsia="Times New Roman" w:hAnsi="Times New Roman" w:cs="Times New Roman"/>
          <w:color w:val="000000"/>
          <w:sz w:val="20"/>
          <w:szCs w:val="20"/>
        </w:rPr>
        <w:t>the Ministry of Interior in relation to the</w:t>
      </w:r>
      <w:r w:rsidRPr="009E6B16">
        <w:rPr>
          <w:rFonts w:ascii="Times New Roman" w:eastAsia="Times New Roman" w:hAnsi="Times New Roman" w:cs="Times New Roman"/>
          <w:color w:val="000000"/>
          <w:sz w:val="20"/>
          <w:szCs w:val="20"/>
        </w:rPr>
        <w:t xml:space="preserve"> application to cancel </w:t>
      </w:r>
      <w:r w:rsidRPr="003874E3">
        <w:rPr>
          <w:rFonts w:ascii="Times New Roman" w:eastAsia="Times New Roman" w:hAnsi="Times New Roman" w:cs="Times New Roman"/>
          <w:color w:val="000000"/>
          <w:sz w:val="20"/>
          <w:szCs w:val="20"/>
        </w:rPr>
        <w:t>Omar Barghouti</w:t>
      </w:r>
      <w:r w:rsidRPr="008D19F5">
        <w:rPr>
          <w:rFonts w:ascii="Times New Roman" w:eastAsia="Times New Roman" w:hAnsi="Times New Roman" w:cs="Times New Roman"/>
          <w:color w:val="000000"/>
          <w:sz w:val="20"/>
          <w:szCs w:val="20"/>
        </w:rPr>
        <w:t xml:space="preserve">’s permanent residency status (Hebrew), as reproduced in Annex 1. The document is also available at: </w:t>
      </w:r>
      <w:hyperlink r:id="rId2" w:history="1">
        <w:r w:rsidRPr="00C36CCE">
          <w:rPr>
            <w:rStyle w:val="Hyperlink"/>
            <w:rFonts w:ascii="Times New Roman" w:eastAsia="Times New Roman" w:hAnsi="Times New Roman" w:cs="Times New Roman"/>
            <w:sz w:val="20"/>
            <w:szCs w:val="20"/>
          </w:rPr>
          <w:t>https://www.kipa.co.il/userFiles/files/1475c7aebd9515ce59bf964572c931c2.pdf</w:t>
        </w:r>
      </w:hyperlink>
      <w:r w:rsidRPr="00C36CCE">
        <w:rPr>
          <w:rFonts w:ascii="Times New Roman" w:eastAsia="Times New Roman" w:hAnsi="Times New Roman" w:cs="Times New Roman"/>
          <w:color w:val="000000"/>
          <w:sz w:val="20"/>
          <w:szCs w:val="20"/>
        </w:rPr>
        <w:t>.</w:t>
      </w:r>
    </w:p>
  </w:footnote>
  <w:footnote w:id="3">
    <w:p w14:paraId="41023045" w14:textId="06EB813E" w:rsidR="00176290" w:rsidRPr="007056DE" w:rsidRDefault="00176290" w:rsidP="00B86B3C">
      <w:pPr>
        <w:pBdr>
          <w:top w:val="nil"/>
          <w:left w:val="nil"/>
          <w:bottom w:val="nil"/>
          <w:right w:val="nil"/>
          <w:between w:val="nil"/>
        </w:pBdr>
        <w:spacing w:before="80" w:after="80" w:line="20" w:lineRule="atLeast"/>
        <w:rPr>
          <w:rFonts w:ascii="Times New Roman" w:eastAsia="Times New Roman" w:hAnsi="Times New Roman" w:cs="Times New Roman"/>
          <w:sz w:val="20"/>
          <w:szCs w:val="20"/>
          <w:lang w:val="en-US"/>
        </w:rPr>
      </w:pPr>
      <w:r w:rsidRPr="00C36CCE">
        <w:rPr>
          <w:rFonts w:ascii="Times New Roman" w:hAnsi="Times New Roman" w:cs="Times New Roman"/>
          <w:sz w:val="20"/>
          <w:szCs w:val="20"/>
          <w:vertAlign w:val="superscript"/>
        </w:rPr>
        <w:footnoteRef/>
      </w:r>
      <w:r w:rsidRPr="00C36CCE">
        <w:rPr>
          <w:rFonts w:ascii="Times New Roman" w:eastAsia="Times New Roman" w:hAnsi="Times New Roman" w:cs="Times New Roman"/>
          <w:color w:val="000000"/>
          <w:sz w:val="20"/>
          <w:szCs w:val="20"/>
        </w:rPr>
        <w:t xml:space="preserve"> </w:t>
      </w:r>
      <w:r w:rsidRPr="007056DE">
        <w:rPr>
          <w:rFonts w:ascii="Times New Roman" w:hAnsi="Times New Roman" w:cs="Times New Roman"/>
          <w:sz w:val="20"/>
          <w:szCs w:val="20"/>
        </w:rPr>
        <w:t xml:space="preserve">Lahav Harkov, “Arye Deri Moves to Deport </w:t>
      </w:r>
      <w:r w:rsidRPr="005B0535">
        <w:rPr>
          <w:rFonts w:ascii="Times New Roman" w:hAnsi="Times New Roman" w:cs="Times New Roman"/>
          <w:sz w:val="20"/>
          <w:szCs w:val="20"/>
        </w:rPr>
        <w:t>BDS</w:t>
      </w:r>
      <w:r w:rsidRPr="00372272">
        <w:rPr>
          <w:rFonts w:ascii="Times New Roman" w:hAnsi="Times New Roman" w:cs="Times New Roman"/>
          <w:sz w:val="20"/>
          <w:szCs w:val="20"/>
        </w:rPr>
        <w:t xml:space="preserve"> Founder Barghouti</w:t>
      </w:r>
      <w:r w:rsidRPr="009E6B16">
        <w:rPr>
          <w:rFonts w:ascii="Times New Roman" w:hAnsi="Times New Roman" w:cs="Times New Roman"/>
          <w:sz w:val="20"/>
          <w:szCs w:val="20"/>
        </w:rPr>
        <w:t xml:space="preserve">,” (7 October 2019), available at: </w:t>
      </w:r>
      <w:hyperlink r:id="rId3" w:history="1">
        <w:r w:rsidRPr="00C36CCE">
          <w:rPr>
            <w:rStyle w:val="Hyperlink"/>
            <w:rFonts w:ascii="Times New Roman" w:hAnsi="Times New Roman" w:cs="Times New Roman"/>
            <w:sz w:val="20"/>
            <w:szCs w:val="20"/>
          </w:rPr>
          <w:t>https://www.jpost.com/Israel-News/Arye-Deri-moves-to-deport-BDS-founder-Barghouti-603889</w:t>
        </w:r>
      </w:hyperlink>
      <w:r w:rsidRPr="00C36CCE">
        <w:rPr>
          <w:rFonts w:ascii="Times New Roman" w:hAnsi="Times New Roman" w:cs="Times New Roman"/>
          <w:sz w:val="20"/>
          <w:szCs w:val="20"/>
        </w:rPr>
        <w:t>.</w:t>
      </w:r>
    </w:p>
  </w:footnote>
  <w:footnote w:id="4">
    <w:p w14:paraId="0C029EBC" w14:textId="500DB077" w:rsidR="00176290" w:rsidRPr="007056DE" w:rsidRDefault="00176290" w:rsidP="00B86B3C">
      <w:pPr>
        <w:spacing w:before="80" w:after="80" w:line="20" w:lineRule="atLeast"/>
        <w:rPr>
          <w:rFonts w:ascii="Times New Roman" w:hAnsi="Times New Roman" w:cs="Times New Roman"/>
          <w:sz w:val="20"/>
          <w:szCs w:val="20"/>
          <w:lang w:val="en-US"/>
        </w:rPr>
      </w:pPr>
      <w:r w:rsidRPr="00C36CCE">
        <w:rPr>
          <w:rFonts w:ascii="Times New Roman" w:hAnsi="Times New Roman" w:cs="Times New Roman"/>
          <w:sz w:val="20"/>
          <w:szCs w:val="20"/>
          <w:vertAlign w:val="superscript"/>
        </w:rPr>
        <w:footnoteRef/>
      </w:r>
      <w:r w:rsidRPr="00C36CCE">
        <w:rPr>
          <w:rFonts w:ascii="Times New Roman" w:eastAsia="Times New Roman" w:hAnsi="Times New Roman" w:cs="Times New Roman"/>
          <w:sz w:val="20"/>
          <w:szCs w:val="20"/>
        </w:rPr>
        <w:t xml:space="preserve"> </w:t>
      </w:r>
      <w:r w:rsidRPr="007056DE">
        <w:rPr>
          <w:rFonts w:ascii="Times New Roman" w:hAnsi="Times New Roman" w:cs="Times New Roman"/>
          <w:sz w:val="20"/>
          <w:szCs w:val="20"/>
        </w:rPr>
        <w:t>Amnesty International, “Israel: End the Arbitrary Travel Ban on Human Rights</w:t>
      </w:r>
      <w:r w:rsidRPr="005B0535">
        <w:rPr>
          <w:rFonts w:ascii="Times New Roman" w:hAnsi="Times New Roman" w:cs="Times New Roman"/>
          <w:sz w:val="20"/>
          <w:szCs w:val="20"/>
        </w:rPr>
        <w:t xml:space="preserve"> </w:t>
      </w:r>
      <w:r w:rsidRPr="00372272">
        <w:rPr>
          <w:rFonts w:ascii="Times New Roman" w:hAnsi="Times New Roman" w:cs="Times New Roman"/>
          <w:sz w:val="20"/>
          <w:szCs w:val="20"/>
        </w:rPr>
        <w:t>Defender Omar Barghouti</w:t>
      </w:r>
      <w:r w:rsidRPr="009E6B16">
        <w:rPr>
          <w:rFonts w:ascii="Times New Roman" w:hAnsi="Times New Roman" w:cs="Times New Roman"/>
          <w:sz w:val="20"/>
          <w:szCs w:val="20"/>
        </w:rPr>
        <w:t xml:space="preserve">,” (7 February 2019), available at: </w:t>
      </w:r>
      <w:hyperlink r:id="rId4" w:history="1">
        <w:r w:rsidRPr="00C36CCE">
          <w:rPr>
            <w:rStyle w:val="Hyperlink"/>
            <w:rFonts w:ascii="Times New Roman" w:hAnsi="Times New Roman" w:cs="Times New Roman"/>
            <w:sz w:val="20"/>
            <w:szCs w:val="20"/>
          </w:rPr>
          <w:t>https://www.amnesty.org/download/Documents/MDE1598112019ENGLISH.PDF</w:t>
        </w:r>
      </w:hyperlink>
      <w:r w:rsidRPr="00C36CCE">
        <w:rPr>
          <w:rFonts w:ascii="Times New Roman" w:hAnsi="Times New Roman" w:cs="Times New Roman"/>
          <w:sz w:val="20"/>
          <w:szCs w:val="20"/>
        </w:rPr>
        <w:t>.</w:t>
      </w:r>
    </w:p>
  </w:footnote>
  <w:footnote w:id="5">
    <w:p w14:paraId="434E50BD" w14:textId="77777777" w:rsidR="00176290" w:rsidRPr="007056DE" w:rsidRDefault="00176290" w:rsidP="00B86B3C">
      <w:pPr>
        <w:spacing w:before="80" w:after="80" w:line="20" w:lineRule="atLeast"/>
        <w:rPr>
          <w:rFonts w:ascii="Times New Roman" w:eastAsia="Times New Roman" w:hAnsi="Times New Roman" w:cs="Times New Roman"/>
          <w:sz w:val="20"/>
          <w:szCs w:val="20"/>
          <w:lang w:val="en-US"/>
        </w:rPr>
      </w:pPr>
      <w:r w:rsidRPr="00C36CCE">
        <w:rPr>
          <w:rFonts w:ascii="Times New Roman" w:hAnsi="Times New Roman" w:cs="Times New Roman"/>
          <w:sz w:val="20"/>
          <w:szCs w:val="20"/>
          <w:vertAlign w:val="superscript"/>
        </w:rPr>
        <w:footnoteRef/>
      </w:r>
      <w:r w:rsidRPr="00C36CCE">
        <w:rPr>
          <w:rFonts w:ascii="Times New Roman" w:eastAsia="Times New Roman" w:hAnsi="Times New Roman" w:cs="Times New Roman"/>
          <w:sz w:val="20"/>
          <w:szCs w:val="20"/>
        </w:rPr>
        <w:t xml:space="preserve"> Al-Haq, “</w:t>
      </w:r>
      <w:r w:rsidRPr="007056DE">
        <w:rPr>
          <w:rFonts w:ascii="Times New Roman" w:eastAsia="Times New Roman" w:hAnsi="Times New Roman" w:cs="Times New Roman"/>
          <w:sz w:val="20"/>
          <w:szCs w:val="20"/>
        </w:rPr>
        <w:t xml:space="preserve">Residency Revocation: Israel’s Forcible Transfer of Palestinians from Jerusalem,” (3 July </w:t>
      </w:r>
      <w:r w:rsidRPr="005B0535">
        <w:rPr>
          <w:rFonts w:ascii="Times New Roman" w:eastAsia="Times New Roman" w:hAnsi="Times New Roman" w:cs="Times New Roman"/>
          <w:sz w:val="20"/>
          <w:szCs w:val="20"/>
        </w:rPr>
        <w:t>2017), available at:</w:t>
      </w:r>
      <w:r w:rsidRPr="007E48AB">
        <w:rPr>
          <w:rFonts w:ascii="Times New Roman" w:hAnsi="Times New Roman" w:cs="Times New Roman"/>
          <w:sz w:val="20"/>
          <w:szCs w:val="20"/>
        </w:rPr>
        <w:t xml:space="preserve"> </w:t>
      </w:r>
      <w:hyperlink r:id="rId5" w:history="1">
        <w:r w:rsidRPr="00C36CCE">
          <w:rPr>
            <w:rStyle w:val="Hyperlink"/>
            <w:rFonts w:ascii="Times New Roman" w:eastAsia="Times New Roman" w:hAnsi="Times New Roman" w:cs="Times New Roman"/>
            <w:sz w:val="20"/>
            <w:szCs w:val="20"/>
          </w:rPr>
          <w:t>http://www.alhaq.org/advocacy/6331.html</w:t>
        </w:r>
      </w:hyperlink>
      <w:r w:rsidRPr="00C36CCE">
        <w:rPr>
          <w:rFonts w:ascii="Times New Roman" w:eastAsia="Times New Roman" w:hAnsi="Times New Roman" w:cs="Times New Roman"/>
          <w:sz w:val="20"/>
          <w:szCs w:val="20"/>
        </w:rPr>
        <w:t>.</w:t>
      </w:r>
    </w:p>
  </w:footnote>
  <w:footnote w:id="6">
    <w:p w14:paraId="2E7C38C1" w14:textId="77777777" w:rsidR="00176290" w:rsidRPr="007056DE" w:rsidRDefault="00176290" w:rsidP="00B86B3C">
      <w:pPr>
        <w:spacing w:before="80" w:after="80" w:line="20" w:lineRule="atLeast"/>
        <w:rPr>
          <w:rFonts w:ascii="Times New Roman" w:eastAsia="Times New Roman" w:hAnsi="Times New Roman" w:cs="Times New Roman"/>
          <w:sz w:val="20"/>
          <w:szCs w:val="20"/>
        </w:rPr>
      </w:pPr>
      <w:r w:rsidRPr="00C36CCE">
        <w:rPr>
          <w:rFonts w:ascii="Times New Roman" w:hAnsi="Times New Roman" w:cs="Times New Roman"/>
          <w:sz w:val="20"/>
          <w:szCs w:val="20"/>
          <w:vertAlign w:val="superscript"/>
        </w:rPr>
        <w:footnoteRef/>
      </w:r>
      <w:r w:rsidRPr="00C36CCE">
        <w:rPr>
          <w:rFonts w:ascii="Times New Roman" w:eastAsia="Times New Roman" w:hAnsi="Times New Roman" w:cs="Times New Roman"/>
          <w:sz w:val="20"/>
          <w:szCs w:val="20"/>
        </w:rPr>
        <w:t xml:space="preserve"> </w:t>
      </w:r>
      <w:r w:rsidRPr="007056DE">
        <w:rPr>
          <w:rFonts w:ascii="Times New Roman" w:eastAsia="Times New Roman" w:hAnsi="Times New Roman" w:cs="Times New Roman"/>
          <w:sz w:val="20"/>
          <w:szCs w:val="20"/>
        </w:rPr>
        <w:t>Al-Haq, “Punitive Residency Revocation: the Most Recent Tool of Forcible Transfer</w:t>
      </w:r>
      <w:r w:rsidRPr="005B0535">
        <w:rPr>
          <w:rFonts w:ascii="Times New Roman" w:eastAsia="Times New Roman" w:hAnsi="Times New Roman" w:cs="Times New Roman"/>
          <w:sz w:val="20"/>
          <w:szCs w:val="20"/>
        </w:rPr>
        <w:t xml:space="preserve">,” (17 March 2018), available at: </w:t>
      </w:r>
      <w:hyperlink r:id="rId6" w:history="1">
        <w:r w:rsidRPr="00C36CCE">
          <w:rPr>
            <w:rStyle w:val="Hyperlink"/>
            <w:rFonts w:ascii="Times New Roman" w:eastAsia="Times New Roman" w:hAnsi="Times New Roman" w:cs="Times New Roman"/>
            <w:sz w:val="20"/>
            <w:szCs w:val="20"/>
          </w:rPr>
          <w:t>http://www.alhaq.org/advocacy/6257.html</w:t>
        </w:r>
      </w:hyperlink>
      <w:r w:rsidRPr="00C36CCE">
        <w:rPr>
          <w:rFonts w:ascii="Times New Roman" w:eastAsia="Times New Roman" w:hAnsi="Times New Roman" w:cs="Times New Roman"/>
          <w:sz w:val="20"/>
          <w:szCs w:val="20"/>
          <w:lang w:val="en-US"/>
        </w:rPr>
        <w:t>.</w:t>
      </w:r>
    </w:p>
  </w:footnote>
  <w:footnote w:id="7">
    <w:p w14:paraId="6E9A12A3" w14:textId="77777777" w:rsidR="00176290" w:rsidRPr="007056DE" w:rsidRDefault="00176290" w:rsidP="00B86B3C">
      <w:pPr>
        <w:spacing w:before="80" w:after="80" w:line="20" w:lineRule="atLeast"/>
        <w:rPr>
          <w:rFonts w:ascii="Times New Roman" w:eastAsia="Times New Roman" w:hAnsi="Times New Roman" w:cs="Times New Roman"/>
          <w:i/>
          <w:sz w:val="20"/>
          <w:szCs w:val="20"/>
        </w:rPr>
      </w:pPr>
      <w:r w:rsidRPr="00C36CCE">
        <w:rPr>
          <w:rFonts w:ascii="Times New Roman" w:hAnsi="Times New Roman" w:cs="Times New Roman"/>
          <w:sz w:val="20"/>
          <w:szCs w:val="20"/>
          <w:vertAlign w:val="superscript"/>
        </w:rPr>
        <w:footnoteRef/>
      </w:r>
      <w:r w:rsidRPr="00C36CCE">
        <w:rPr>
          <w:rFonts w:ascii="Times New Roman" w:eastAsia="Times New Roman" w:hAnsi="Times New Roman" w:cs="Times New Roman"/>
          <w:sz w:val="20"/>
          <w:szCs w:val="20"/>
        </w:rPr>
        <w:t xml:space="preserve"> </w:t>
      </w:r>
      <w:r w:rsidRPr="007056DE">
        <w:rPr>
          <w:rFonts w:ascii="Times New Roman" w:hAnsi="Times New Roman" w:cs="Times New Roman"/>
          <w:i/>
          <w:sz w:val="20"/>
          <w:szCs w:val="20"/>
        </w:rPr>
        <w:t>Ibid.</w:t>
      </w:r>
    </w:p>
  </w:footnote>
  <w:footnote w:id="8">
    <w:p w14:paraId="0DFE9E68" w14:textId="77777777" w:rsidR="00176290" w:rsidRPr="007056DE" w:rsidRDefault="00176290" w:rsidP="00B86B3C">
      <w:pPr>
        <w:spacing w:before="80" w:after="80" w:line="20" w:lineRule="atLeast"/>
        <w:rPr>
          <w:rFonts w:ascii="Times New Roman" w:eastAsia="Times New Roman" w:hAnsi="Times New Roman" w:cs="Times New Roman"/>
          <w:sz w:val="20"/>
          <w:szCs w:val="20"/>
          <w:lang w:val="en-US"/>
        </w:rPr>
      </w:pPr>
      <w:r w:rsidRPr="00C36CCE">
        <w:rPr>
          <w:rFonts w:ascii="Times New Roman" w:hAnsi="Times New Roman" w:cs="Times New Roman"/>
          <w:sz w:val="20"/>
          <w:szCs w:val="20"/>
          <w:vertAlign w:val="superscript"/>
        </w:rPr>
        <w:footnoteRef/>
      </w:r>
      <w:r w:rsidRPr="00C36CCE">
        <w:rPr>
          <w:rFonts w:ascii="Times New Roman" w:eastAsia="Times New Roman" w:hAnsi="Times New Roman" w:cs="Times New Roman"/>
          <w:sz w:val="20"/>
          <w:szCs w:val="20"/>
        </w:rPr>
        <w:t xml:space="preserve"> </w:t>
      </w:r>
      <w:r w:rsidRPr="007056DE">
        <w:rPr>
          <w:rFonts w:ascii="Times New Roman" w:eastAsia="Times New Roman" w:hAnsi="Times New Roman" w:cs="Times New Roman"/>
          <w:sz w:val="20"/>
          <w:szCs w:val="20"/>
        </w:rPr>
        <w:t xml:space="preserve">Al-Shabaka, “Residency Revocation: Israel’s Forcible Transfer of Palestinians from Jerusalem,” (3 July 2017), available at: </w:t>
      </w:r>
      <w:hyperlink r:id="rId7" w:history="1">
        <w:r w:rsidRPr="00C36CCE">
          <w:rPr>
            <w:rStyle w:val="Hyperlink"/>
            <w:rFonts w:ascii="Times New Roman" w:eastAsia="Times New Roman" w:hAnsi="Times New Roman" w:cs="Times New Roman"/>
            <w:sz w:val="20"/>
            <w:szCs w:val="20"/>
          </w:rPr>
          <w:t>https://al-shabaka.org/releases/residency-revocation-israels-forcible-transfer-palestinians-jerusalem/</w:t>
        </w:r>
      </w:hyperlink>
      <w:r w:rsidRPr="00C36CCE">
        <w:rPr>
          <w:rFonts w:ascii="Times New Roman" w:eastAsia="Times New Roman" w:hAnsi="Times New Roman" w:cs="Times New Roman"/>
          <w:sz w:val="20"/>
          <w:szCs w:val="20"/>
        </w:rPr>
        <w:t>.</w:t>
      </w:r>
    </w:p>
  </w:footnote>
  <w:footnote w:id="9">
    <w:p w14:paraId="09470535" w14:textId="77777777" w:rsidR="00176290" w:rsidRPr="007056DE" w:rsidRDefault="00176290" w:rsidP="00B86B3C">
      <w:pPr>
        <w:spacing w:before="80" w:after="80" w:line="20" w:lineRule="atLeast"/>
        <w:rPr>
          <w:rFonts w:ascii="Times New Roman" w:eastAsia="Times New Roman" w:hAnsi="Times New Roman" w:cs="Times New Roman"/>
          <w:sz w:val="20"/>
          <w:szCs w:val="20"/>
          <w:lang w:val="en-US"/>
        </w:rPr>
      </w:pPr>
      <w:r w:rsidRPr="00C36CCE">
        <w:rPr>
          <w:rFonts w:ascii="Times New Roman" w:hAnsi="Times New Roman" w:cs="Times New Roman"/>
          <w:sz w:val="20"/>
          <w:szCs w:val="20"/>
          <w:vertAlign w:val="superscript"/>
        </w:rPr>
        <w:footnoteRef/>
      </w:r>
      <w:r w:rsidRPr="00C36CCE">
        <w:rPr>
          <w:rFonts w:ascii="Times New Roman" w:eastAsia="Times New Roman" w:hAnsi="Times New Roman" w:cs="Times New Roman"/>
          <w:sz w:val="20"/>
          <w:szCs w:val="20"/>
        </w:rPr>
        <w:t xml:space="preserve"> </w:t>
      </w:r>
      <w:r w:rsidRPr="007056DE">
        <w:rPr>
          <w:rFonts w:ascii="Times New Roman" w:eastAsia="Times New Roman" w:hAnsi="Times New Roman" w:cs="Times New Roman"/>
          <w:sz w:val="20"/>
          <w:szCs w:val="20"/>
        </w:rPr>
        <w:t>Al-Haq, “Punitive Residency Revocation: the Most Recent Tool of Forcible Transfer</w:t>
      </w:r>
      <w:r w:rsidRPr="005B0535">
        <w:rPr>
          <w:rFonts w:ascii="Times New Roman" w:eastAsia="Times New Roman" w:hAnsi="Times New Roman" w:cs="Times New Roman"/>
          <w:sz w:val="20"/>
          <w:szCs w:val="20"/>
        </w:rPr>
        <w:t xml:space="preserve">,” (17 March 2018), available at: </w:t>
      </w:r>
      <w:hyperlink r:id="rId8" w:history="1">
        <w:r w:rsidRPr="00C36CCE">
          <w:rPr>
            <w:rStyle w:val="Hyperlink"/>
            <w:rFonts w:ascii="Times New Roman" w:eastAsia="Times New Roman" w:hAnsi="Times New Roman" w:cs="Times New Roman"/>
            <w:sz w:val="20"/>
            <w:szCs w:val="20"/>
          </w:rPr>
          <w:t>http://www.alhaq.org/advocacy/6257.html</w:t>
        </w:r>
      </w:hyperlink>
      <w:r w:rsidRPr="00C36CCE">
        <w:rPr>
          <w:rFonts w:ascii="Times New Roman" w:eastAsia="Times New Roman" w:hAnsi="Times New Roman" w:cs="Times New Roman"/>
          <w:sz w:val="20"/>
          <w:szCs w:val="20"/>
          <w:lang w:val="en-US"/>
        </w:rPr>
        <w:t>.</w:t>
      </w:r>
    </w:p>
  </w:footnote>
  <w:footnote w:id="10">
    <w:p w14:paraId="1CCE894B" w14:textId="23E86B7C" w:rsidR="00F35592" w:rsidRPr="007E48AB" w:rsidRDefault="00F35592" w:rsidP="007E48AB">
      <w:pPr>
        <w:pStyle w:val="FootnoteText"/>
        <w:spacing w:before="80" w:after="80" w:line="20" w:lineRule="atLeast"/>
        <w:jc w:val="both"/>
        <w:rPr>
          <w:rFonts w:ascii="Times New Roman" w:hAnsi="Times New Roman" w:cs="Times New Roman"/>
        </w:rPr>
      </w:pPr>
      <w:r w:rsidRPr="007E48AB">
        <w:rPr>
          <w:rStyle w:val="FootnoteReference"/>
          <w:rFonts w:ascii="Times New Roman" w:hAnsi="Times New Roman" w:cs="Times New Roman"/>
        </w:rPr>
        <w:footnoteRef/>
      </w:r>
      <w:r w:rsidRPr="007E48AB">
        <w:rPr>
          <w:rFonts w:ascii="Times New Roman" w:hAnsi="Times New Roman" w:cs="Times New Roman"/>
        </w:rPr>
        <w:t xml:space="preserve"> Approved by the Knesset on 7 March 2018 [20 Adar 5778]</w:t>
      </w:r>
      <w:r w:rsidR="009750A4">
        <w:rPr>
          <w:rFonts w:ascii="Times New Roman" w:hAnsi="Times New Roman" w:cs="Times New Roman"/>
        </w:rPr>
        <w:t>,</w:t>
      </w:r>
      <w:r w:rsidRPr="007E48AB">
        <w:rPr>
          <w:rFonts w:ascii="Times New Roman" w:hAnsi="Times New Roman" w:cs="Times New Roman"/>
        </w:rPr>
        <w:t xml:space="preserve"> the bill and the explanations were published under the </w:t>
      </w:r>
      <w:r w:rsidR="009750A4">
        <w:rPr>
          <w:rFonts w:ascii="Times New Roman" w:hAnsi="Times New Roman" w:cs="Times New Roman"/>
        </w:rPr>
        <w:t>B</w:t>
      </w:r>
      <w:r w:rsidRPr="007E48AB">
        <w:rPr>
          <w:rFonts w:ascii="Times New Roman" w:hAnsi="Times New Roman" w:cs="Times New Roman"/>
        </w:rPr>
        <w:t xml:space="preserve">ills of </w:t>
      </w:r>
      <w:r w:rsidR="009750A4">
        <w:rPr>
          <w:rFonts w:ascii="Times New Roman" w:hAnsi="Times New Roman" w:cs="Times New Roman"/>
        </w:rPr>
        <w:t>G</w:t>
      </w:r>
      <w:r w:rsidRPr="007E48AB">
        <w:rPr>
          <w:rFonts w:ascii="Times New Roman" w:hAnsi="Times New Roman" w:cs="Times New Roman"/>
        </w:rPr>
        <w:t xml:space="preserve">overnmental </w:t>
      </w:r>
      <w:r w:rsidR="009750A4">
        <w:rPr>
          <w:rFonts w:ascii="Times New Roman" w:hAnsi="Times New Roman" w:cs="Times New Roman"/>
        </w:rPr>
        <w:t>L</w:t>
      </w:r>
      <w:r w:rsidRPr="007E48AB">
        <w:rPr>
          <w:rFonts w:ascii="Times New Roman" w:hAnsi="Times New Roman" w:cs="Times New Roman"/>
        </w:rPr>
        <w:t xml:space="preserve">aw 1204 on 26 February 2018 [11 Adar 5778], </w:t>
      </w:r>
      <w:r w:rsidR="009750A4">
        <w:rPr>
          <w:rFonts w:ascii="Times New Roman" w:hAnsi="Times New Roman" w:cs="Times New Roman"/>
        </w:rPr>
        <w:t>p.</w:t>
      </w:r>
      <w:r w:rsidR="009750A4" w:rsidRPr="007E48AB">
        <w:rPr>
          <w:rFonts w:ascii="Times New Roman" w:hAnsi="Times New Roman" w:cs="Times New Roman"/>
        </w:rPr>
        <w:t xml:space="preserve"> </w:t>
      </w:r>
      <w:r w:rsidRPr="007E48AB">
        <w:rPr>
          <w:rFonts w:ascii="Times New Roman" w:hAnsi="Times New Roman" w:cs="Times New Roman"/>
        </w:rPr>
        <w:t xml:space="preserve">684. </w:t>
      </w:r>
    </w:p>
  </w:footnote>
  <w:footnote w:id="11">
    <w:p w14:paraId="6A7A7A2F" w14:textId="0476D009" w:rsidR="00C36CCE" w:rsidRPr="007E48AB" w:rsidRDefault="00C36CCE" w:rsidP="007E48AB">
      <w:pPr>
        <w:pStyle w:val="FootnoteText"/>
        <w:spacing w:before="80" w:after="80" w:line="20" w:lineRule="atLeast"/>
        <w:rPr>
          <w:rFonts w:ascii="Times New Roman" w:hAnsi="Times New Roman" w:cs="Times New Roman"/>
        </w:rPr>
      </w:pPr>
      <w:r w:rsidRPr="007E48AB">
        <w:rPr>
          <w:rStyle w:val="FootnoteReference"/>
          <w:rFonts w:ascii="Times New Roman" w:hAnsi="Times New Roman" w:cs="Times New Roman"/>
        </w:rPr>
        <w:footnoteRef/>
      </w:r>
      <w:r w:rsidRPr="007E48AB">
        <w:rPr>
          <w:rFonts w:ascii="Times New Roman" w:hAnsi="Times New Roman" w:cs="Times New Roman"/>
        </w:rPr>
        <w:t xml:space="preserve"> </w:t>
      </w:r>
      <w:r>
        <w:rPr>
          <w:rFonts w:ascii="Times New Roman" w:hAnsi="Times New Roman" w:cs="Times New Roman"/>
        </w:rPr>
        <w:t xml:space="preserve">To read the Hebrew original, </w:t>
      </w:r>
      <w:r>
        <w:rPr>
          <w:rFonts w:ascii="Times New Roman" w:hAnsi="Times New Roman" w:cs="Times New Roman"/>
          <w:i/>
          <w:iCs/>
        </w:rPr>
        <w:t>see</w:t>
      </w:r>
      <w:r>
        <w:rPr>
          <w:rFonts w:ascii="Times New Roman" w:hAnsi="Times New Roman" w:cs="Times New Roman"/>
        </w:rPr>
        <w:t xml:space="preserve"> here:</w:t>
      </w:r>
      <w:r w:rsidRPr="007E48AB">
        <w:rPr>
          <w:rFonts w:ascii="Times New Roman" w:hAnsi="Times New Roman" w:cs="Times New Roman"/>
        </w:rPr>
        <w:t xml:space="preserve"> </w:t>
      </w:r>
      <w:hyperlink r:id="rId9" w:history="1">
        <w:r w:rsidRPr="007E48AB">
          <w:rPr>
            <w:rStyle w:val="Hyperlink"/>
            <w:rFonts w:ascii="Times New Roman" w:hAnsi="Times New Roman" w:cs="Times New Roman"/>
          </w:rPr>
          <w:t>https://www.nevo.co.il/law_word/law14/law-2698.pd</w:t>
        </w:r>
        <w:r w:rsidRPr="00406405">
          <w:rPr>
            <w:rStyle w:val="Hyperlink"/>
            <w:rFonts w:ascii="Times New Roman" w:hAnsi="Times New Roman" w:cs="Times New Roman"/>
          </w:rPr>
          <w:t>f</w:t>
        </w:r>
      </w:hyperlink>
      <w:r>
        <w:rPr>
          <w:rFonts w:ascii="Times New Roman" w:hAnsi="Times New Roman" w:cs="Times New Roman"/>
        </w:rPr>
        <w:t>.</w:t>
      </w:r>
    </w:p>
  </w:footnote>
  <w:footnote w:id="12">
    <w:p w14:paraId="68A5190A" w14:textId="6B86642B" w:rsidR="00332F01" w:rsidRPr="007E48AB" w:rsidRDefault="00332F01" w:rsidP="008961D7">
      <w:pPr>
        <w:pStyle w:val="FootnoteText"/>
        <w:spacing w:before="80" w:after="80" w:line="20" w:lineRule="atLeast"/>
        <w:jc w:val="both"/>
        <w:rPr>
          <w:rFonts w:ascii="Times New Roman" w:hAnsi="Times New Roman" w:cs="Times New Roman"/>
        </w:rPr>
      </w:pPr>
      <w:r w:rsidRPr="007E48AB">
        <w:rPr>
          <w:rStyle w:val="FootnoteReference"/>
          <w:rFonts w:ascii="Times New Roman" w:hAnsi="Times New Roman" w:cs="Times New Roman"/>
        </w:rPr>
        <w:footnoteRef/>
      </w:r>
      <w:r w:rsidRPr="007E48AB">
        <w:rPr>
          <w:rFonts w:ascii="Times New Roman" w:hAnsi="Times New Roman" w:cs="Times New Roman"/>
        </w:rPr>
        <w:t xml:space="preserve"> Statutes Book of </w:t>
      </w:r>
      <w:r w:rsidR="00EE7D7B" w:rsidRPr="008E743E">
        <w:rPr>
          <w:rFonts w:ascii="Times New Roman" w:hAnsi="Times New Roman" w:cs="Times New Roman"/>
        </w:rPr>
        <w:t xml:space="preserve">the [Hebrew] year </w:t>
      </w:r>
      <w:r w:rsidRPr="007E48AB">
        <w:rPr>
          <w:rFonts w:ascii="Times New Roman" w:hAnsi="Times New Roman" w:cs="Times New Roman"/>
          <w:lang w:bidi="he-IL"/>
        </w:rPr>
        <w:t xml:space="preserve">5712 [extends from 1 October 1951 </w:t>
      </w:r>
      <w:r w:rsidR="00EE7D7B" w:rsidRPr="008E743E">
        <w:rPr>
          <w:rFonts w:ascii="Times New Roman" w:hAnsi="Times New Roman" w:cs="Times New Roman"/>
        </w:rPr>
        <w:t xml:space="preserve">until </w:t>
      </w:r>
      <w:r w:rsidRPr="007E48AB">
        <w:rPr>
          <w:rFonts w:ascii="Times New Roman" w:hAnsi="Times New Roman" w:cs="Times New Roman"/>
          <w:lang w:bidi="he-IL"/>
        </w:rPr>
        <w:t>19 September 1952]</w:t>
      </w:r>
      <w:r w:rsidRPr="007E48AB">
        <w:rPr>
          <w:rFonts w:ascii="Times New Roman" w:hAnsi="Times New Roman" w:cs="Times New Roman"/>
        </w:rPr>
        <w:t xml:space="preserve">, </w:t>
      </w:r>
      <w:r w:rsidR="00EE7D7B">
        <w:rPr>
          <w:rFonts w:ascii="Times New Roman" w:hAnsi="Times New Roman" w:cs="Times New Roman"/>
        </w:rPr>
        <w:t>p.</w:t>
      </w:r>
      <w:r w:rsidR="00EE7D7B" w:rsidRPr="007E48AB">
        <w:rPr>
          <w:rFonts w:ascii="Times New Roman" w:hAnsi="Times New Roman" w:cs="Times New Roman"/>
        </w:rPr>
        <w:t xml:space="preserve"> </w:t>
      </w:r>
      <w:r w:rsidRPr="007E48AB">
        <w:rPr>
          <w:rFonts w:ascii="Times New Roman" w:hAnsi="Times New Roman" w:cs="Times New Roman"/>
        </w:rPr>
        <w:t>354; and</w:t>
      </w:r>
      <w:r w:rsidR="00EE7D7B">
        <w:rPr>
          <w:rFonts w:ascii="Times New Roman" w:hAnsi="Times New Roman" w:cs="Times New Roman"/>
        </w:rPr>
        <w:t xml:space="preserve"> </w:t>
      </w:r>
      <w:r w:rsidR="008961D7">
        <w:rPr>
          <w:rFonts w:ascii="Times New Roman" w:hAnsi="Times New Roman" w:cs="Times New Roman"/>
        </w:rPr>
        <w:t xml:space="preserve">Statutes Book of the </w:t>
      </w:r>
      <w:r w:rsidR="00EE7D7B" w:rsidRPr="008E743E">
        <w:rPr>
          <w:rFonts w:ascii="Times New Roman" w:hAnsi="Times New Roman" w:cs="Times New Roman"/>
        </w:rPr>
        <w:t xml:space="preserve">year </w:t>
      </w:r>
      <w:r w:rsidRPr="007E48AB">
        <w:rPr>
          <w:rFonts w:ascii="Times New Roman" w:hAnsi="Times New Roman" w:cs="Times New Roman"/>
          <w:lang w:bidi="he-IL"/>
        </w:rPr>
        <w:t xml:space="preserve">5778 [from 10 September 2017 </w:t>
      </w:r>
      <w:r w:rsidR="00EE7D7B" w:rsidRPr="008E743E">
        <w:rPr>
          <w:rFonts w:ascii="Times New Roman" w:hAnsi="Times New Roman" w:cs="Times New Roman"/>
        </w:rPr>
        <w:t xml:space="preserve">until </w:t>
      </w:r>
      <w:r w:rsidRPr="007E48AB">
        <w:rPr>
          <w:rFonts w:ascii="Times New Roman" w:hAnsi="Times New Roman" w:cs="Times New Roman"/>
          <w:lang w:bidi="he-IL"/>
        </w:rPr>
        <w:t>9 September 2018]</w:t>
      </w:r>
      <w:r w:rsidRPr="007E48AB">
        <w:rPr>
          <w:rFonts w:ascii="Times New Roman" w:hAnsi="Times New Roman" w:cs="Times New Roman"/>
        </w:rPr>
        <w:t xml:space="preserve">, </w:t>
      </w:r>
      <w:r w:rsidR="00EE7D7B">
        <w:rPr>
          <w:rFonts w:ascii="Times New Roman" w:hAnsi="Times New Roman" w:cs="Times New Roman"/>
        </w:rPr>
        <w:t>p.</w:t>
      </w:r>
      <w:r w:rsidR="00EE7D7B" w:rsidRPr="007E48AB">
        <w:rPr>
          <w:rFonts w:ascii="Times New Roman" w:hAnsi="Times New Roman" w:cs="Times New Roman"/>
        </w:rPr>
        <w:t xml:space="preserve"> </w:t>
      </w:r>
      <w:r w:rsidRPr="007E48AB">
        <w:rPr>
          <w:rFonts w:ascii="Times New Roman" w:hAnsi="Times New Roman" w:cs="Times New Roman"/>
        </w:rPr>
        <w:t>220.</w:t>
      </w:r>
    </w:p>
  </w:footnote>
  <w:footnote w:id="13">
    <w:p w14:paraId="20BE7C30" w14:textId="27B8FDC5" w:rsidR="00332F01" w:rsidRPr="007E48AB" w:rsidRDefault="00332F01" w:rsidP="008961D7">
      <w:pPr>
        <w:pStyle w:val="FootnoteText"/>
        <w:spacing w:before="80" w:after="80" w:line="20" w:lineRule="atLeast"/>
        <w:rPr>
          <w:rFonts w:ascii="Times New Roman" w:hAnsi="Times New Roman" w:cs="Times New Roman"/>
        </w:rPr>
      </w:pPr>
      <w:r w:rsidRPr="007E48AB">
        <w:rPr>
          <w:rStyle w:val="FootnoteReference"/>
          <w:rFonts w:ascii="Times New Roman" w:hAnsi="Times New Roman" w:cs="Times New Roman"/>
        </w:rPr>
        <w:footnoteRef/>
      </w:r>
      <w:r w:rsidR="008961D7">
        <w:rPr>
          <w:rFonts w:ascii="Times New Roman" w:hAnsi="Times New Roman" w:cs="Times New Roman"/>
        </w:rPr>
        <w:t xml:space="preserve"> </w:t>
      </w:r>
      <w:r w:rsidRPr="007E48AB">
        <w:rPr>
          <w:rFonts w:ascii="Times New Roman" w:hAnsi="Times New Roman" w:cs="Times New Roman"/>
        </w:rPr>
        <w:t xml:space="preserve">Statutes Book of the year </w:t>
      </w:r>
      <w:r w:rsidRPr="007E48AB">
        <w:rPr>
          <w:rFonts w:ascii="Times New Roman" w:hAnsi="Times New Roman" w:cs="Times New Roman"/>
          <w:lang w:bidi="he-IL"/>
        </w:rPr>
        <w:t>5776</w:t>
      </w:r>
      <w:r w:rsidRPr="007E48AB">
        <w:rPr>
          <w:rFonts w:ascii="Times New Roman" w:hAnsi="Times New Roman" w:cs="Times New Roman"/>
        </w:rPr>
        <w:t xml:space="preserve"> [extends from 14 September 2015 until 2 October 2016], p. 898.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D452" w14:textId="4B13FBF8" w:rsidR="00176290" w:rsidRDefault="00176290" w:rsidP="002C087E">
    <w:pPr>
      <w:pBdr>
        <w:top w:val="nil"/>
        <w:left w:val="nil"/>
        <w:bottom w:val="nil"/>
        <w:right w:val="nil"/>
        <w:between w:val="nil"/>
      </w:pBdr>
      <w:tabs>
        <w:tab w:val="center" w:pos="4320"/>
        <w:tab w:val="right" w:pos="8640"/>
      </w:tabs>
      <w:spacing w:after="240"/>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Joint Urgent Appeal on the Imminent Risk of Deportation of Omar Barghouti – 6 </w:t>
    </w:r>
    <w:r w:rsidR="00E60C99">
      <w:rPr>
        <w:rFonts w:ascii="Times New Roman" w:eastAsia="Times New Roman" w:hAnsi="Times New Roman" w:cs="Times New Roman"/>
        <w:i/>
        <w:color w:val="000000"/>
      </w:rPr>
      <w:t xml:space="preserve">November </w:t>
    </w:r>
    <w:r>
      <w:rPr>
        <w:rFonts w:ascii="Times New Roman" w:eastAsia="Times New Roman" w:hAnsi="Times New Roman" w:cs="Times New Roman"/>
        <w:i/>
        <w:color w:val="000000"/>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8EE"/>
    <w:multiLevelType w:val="hybridMultilevel"/>
    <w:tmpl w:val="E28E13F6"/>
    <w:lvl w:ilvl="0" w:tplc="0409001B">
      <w:start w:val="1"/>
      <w:numFmt w:val="lowerRoman"/>
      <w:lvlText w:val="%1."/>
      <w:lvlJc w:val="righ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72C4D"/>
    <w:multiLevelType w:val="hybridMultilevel"/>
    <w:tmpl w:val="81729B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803E3"/>
    <w:multiLevelType w:val="hybridMultilevel"/>
    <w:tmpl w:val="74D44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D13B6"/>
    <w:multiLevelType w:val="hybridMultilevel"/>
    <w:tmpl w:val="CB6EE3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F72C4"/>
    <w:multiLevelType w:val="hybridMultilevel"/>
    <w:tmpl w:val="84E6F202"/>
    <w:lvl w:ilvl="0" w:tplc="FF703AC2">
      <w:start w:val="1"/>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5" w15:restartNumberingAfterBreak="0">
    <w:nsid w:val="23DE4015"/>
    <w:multiLevelType w:val="hybridMultilevel"/>
    <w:tmpl w:val="660436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24FEE"/>
    <w:multiLevelType w:val="multilevel"/>
    <w:tmpl w:val="2A54425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371085A"/>
    <w:multiLevelType w:val="hybridMultilevel"/>
    <w:tmpl w:val="4E40698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D77C0D"/>
    <w:multiLevelType w:val="hybridMultilevel"/>
    <w:tmpl w:val="489AD11C"/>
    <w:lvl w:ilvl="0" w:tplc="AD7870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7355D6"/>
    <w:multiLevelType w:val="hybridMultilevel"/>
    <w:tmpl w:val="815E55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C711A"/>
    <w:multiLevelType w:val="hybridMultilevel"/>
    <w:tmpl w:val="84E6F202"/>
    <w:lvl w:ilvl="0" w:tplc="FF703AC2">
      <w:start w:val="1"/>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11" w15:restartNumberingAfterBreak="0">
    <w:nsid w:val="4C966C0D"/>
    <w:multiLevelType w:val="multilevel"/>
    <w:tmpl w:val="FAE00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F14F87"/>
    <w:multiLevelType w:val="hybridMultilevel"/>
    <w:tmpl w:val="8AFED4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387A8B"/>
    <w:multiLevelType w:val="hybridMultilevel"/>
    <w:tmpl w:val="0680B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00104"/>
    <w:multiLevelType w:val="hybridMultilevel"/>
    <w:tmpl w:val="84E6F202"/>
    <w:lvl w:ilvl="0" w:tplc="FF703AC2">
      <w:start w:val="1"/>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15" w15:restartNumberingAfterBreak="0">
    <w:nsid w:val="7D056F38"/>
    <w:multiLevelType w:val="multilevel"/>
    <w:tmpl w:val="341473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5"/>
  </w:num>
  <w:num w:numId="3">
    <w:abstractNumId w:val="6"/>
  </w:num>
  <w:num w:numId="4">
    <w:abstractNumId w:val="7"/>
  </w:num>
  <w:num w:numId="5">
    <w:abstractNumId w:val="0"/>
  </w:num>
  <w:num w:numId="6">
    <w:abstractNumId w:val="3"/>
  </w:num>
  <w:num w:numId="7">
    <w:abstractNumId w:val="1"/>
  </w:num>
  <w:num w:numId="8">
    <w:abstractNumId w:val="2"/>
  </w:num>
  <w:num w:numId="9">
    <w:abstractNumId w:val="5"/>
  </w:num>
  <w:num w:numId="10">
    <w:abstractNumId w:val="9"/>
  </w:num>
  <w:num w:numId="11">
    <w:abstractNumId w:val="13"/>
  </w:num>
  <w:num w:numId="12">
    <w:abstractNumId w:val="12"/>
  </w:num>
  <w:num w:numId="13">
    <w:abstractNumId w:val="8"/>
  </w:num>
  <w:num w:numId="14">
    <w:abstractNumId w:val="14"/>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447"/>
    <w:rsid w:val="000261E7"/>
    <w:rsid w:val="00057485"/>
    <w:rsid w:val="00060141"/>
    <w:rsid w:val="00061A1D"/>
    <w:rsid w:val="0008199C"/>
    <w:rsid w:val="000B2835"/>
    <w:rsid w:val="00134776"/>
    <w:rsid w:val="001652F5"/>
    <w:rsid w:val="00176290"/>
    <w:rsid w:val="0017786B"/>
    <w:rsid w:val="0018668B"/>
    <w:rsid w:val="001937B2"/>
    <w:rsid w:val="00195A08"/>
    <w:rsid w:val="001A16EA"/>
    <w:rsid w:val="001C7DBA"/>
    <w:rsid w:val="001F5629"/>
    <w:rsid w:val="00212A41"/>
    <w:rsid w:val="00213FF3"/>
    <w:rsid w:val="00260974"/>
    <w:rsid w:val="00261381"/>
    <w:rsid w:val="002A6A67"/>
    <w:rsid w:val="002B21A2"/>
    <w:rsid w:val="002B2421"/>
    <w:rsid w:val="002B5933"/>
    <w:rsid w:val="002C087E"/>
    <w:rsid w:val="002C30D6"/>
    <w:rsid w:val="002D4776"/>
    <w:rsid w:val="002D5C5A"/>
    <w:rsid w:val="002F6BA1"/>
    <w:rsid w:val="00332F01"/>
    <w:rsid w:val="00333A67"/>
    <w:rsid w:val="00370629"/>
    <w:rsid w:val="00372272"/>
    <w:rsid w:val="00386636"/>
    <w:rsid w:val="003874E3"/>
    <w:rsid w:val="003A1749"/>
    <w:rsid w:val="003A4806"/>
    <w:rsid w:val="003E5795"/>
    <w:rsid w:val="00411CAB"/>
    <w:rsid w:val="004546F5"/>
    <w:rsid w:val="00463829"/>
    <w:rsid w:val="0047251A"/>
    <w:rsid w:val="00472A4B"/>
    <w:rsid w:val="00473519"/>
    <w:rsid w:val="0047688F"/>
    <w:rsid w:val="004A47FE"/>
    <w:rsid w:val="004C138A"/>
    <w:rsid w:val="004D4C06"/>
    <w:rsid w:val="004E040D"/>
    <w:rsid w:val="005048A7"/>
    <w:rsid w:val="00523FD9"/>
    <w:rsid w:val="00576C88"/>
    <w:rsid w:val="00581471"/>
    <w:rsid w:val="005B0535"/>
    <w:rsid w:val="005D4D48"/>
    <w:rsid w:val="005F4F5A"/>
    <w:rsid w:val="00637445"/>
    <w:rsid w:val="00646F68"/>
    <w:rsid w:val="00670DD0"/>
    <w:rsid w:val="00672C98"/>
    <w:rsid w:val="00672F64"/>
    <w:rsid w:val="00674F27"/>
    <w:rsid w:val="006856AD"/>
    <w:rsid w:val="007056DE"/>
    <w:rsid w:val="00707F65"/>
    <w:rsid w:val="00713136"/>
    <w:rsid w:val="00716685"/>
    <w:rsid w:val="00731447"/>
    <w:rsid w:val="00741991"/>
    <w:rsid w:val="007602AD"/>
    <w:rsid w:val="00770F37"/>
    <w:rsid w:val="007B2E40"/>
    <w:rsid w:val="007D3589"/>
    <w:rsid w:val="007E3457"/>
    <w:rsid w:val="007E48AB"/>
    <w:rsid w:val="007E6233"/>
    <w:rsid w:val="008041DA"/>
    <w:rsid w:val="0081332C"/>
    <w:rsid w:val="00827423"/>
    <w:rsid w:val="00834F2A"/>
    <w:rsid w:val="00846367"/>
    <w:rsid w:val="00871F52"/>
    <w:rsid w:val="00875AC2"/>
    <w:rsid w:val="008772C0"/>
    <w:rsid w:val="008851ED"/>
    <w:rsid w:val="008961D7"/>
    <w:rsid w:val="008A0685"/>
    <w:rsid w:val="008B5DDD"/>
    <w:rsid w:val="008D19F5"/>
    <w:rsid w:val="008E5399"/>
    <w:rsid w:val="008E7D6B"/>
    <w:rsid w:val="009365C0"/>
    <w:rsid w:val="00964188"/>
    <w:rsid w:val="009722A0"/>
    <w:rsid w:val="009750A4"/>
    <w:rsid w:val="009E67EB"/>
    <w:rsid w:val="009E6B16"/>
    <w:rsid w:val="009F2E66"/>
    <w:rsid w:val="009F3A73"/>
    <w:rsid w:val="00A65E63"/>
    <w:rsid w:val="00A73168"/>
    <w:rsid w:val="00A80529"/>
    <w:rsid w:val="00A82AD7"/>
    <w:rsid w:val="00AA3B41"/>
    <w:rsid w:val="00AA735D"/>
    <w:rsid w:val="00AF7D93"/>
    <w:rsid w:val="00B2628E"/>
    <w:rsid w:val="00B32C8A"/>
    <w:rsid w:val="00B645CB"/>
    <w:rsid w:val="00B86B3C"/>
    <w:rsid w:val="00BA1DA7"/>
    <w:rsid w:val="00BB6D46"/>
    <w:rsid w:val="00BD00F3"/>
    <w:rsid w:val="00BE0FD7"/>
    <w:rsid w:val="00BE3BB4"/>
    <w:rsid w:val="00C16989"/>
    <w:rsid w:val="00C36CCE"/>
    <w:rsid w:val="00C41468"/>
    <w:rsid w:val="00C501E0"/>
    <w:rsid w:val="00C5178E"/>
    <w:rsid w:val="00C90799"/>
    <w:rsid w:val="00CD0F07"/>
    <w:rsid w:val="00CD531C"/>
    <w:rsid w:val="00CE5EBD"/>
    <w:rsid w:val="00D01A04"/>
    <w:rsid w:val="00D3340A"/>
    <w:rsid w:val="00D7572E"/>
    <w:rsid w:val="00D840F3"/>
    <w:rsid w:val="00D91B1F"/>
    <w:rsid w:val="00DB64C0"/>
    <w:rsid w:val="00DC16EE"/>
    <w:rsid w:val="00DC5394"/>
    <w:rsid w:val="00DD7221"/>
    <w:rsid w:val="00DF2F21"/>
    <w:rsid w:val="00DF6AA8"/>
    <w:rsid w:val="00E20C59"/>
    <w:rsid w:val="00E2249D"/>
    <w:rsid w:val="00E25A16"/>
    <w:rsid w:val="00E51B54"/>
    <w:rsid w:val="00E56E78"/>
    <w:rsid w:val="00E60B69"/>
    <w:rsid w:val="00E60C99"/>
    <w:rsid w:val="00E83D2D"/>
    <w:rsid w:val="00E873FA"/>
    <w:rsid w:val="00E95FE5"/>
    <w:rsid w:val="00EE7D7B"/>
    <w:rsid w:val="00F35592"/>
    <w:rsid w:val="00F427E1"/>
    <w:rsid w:val="00F44102"/>
    <w:rsid w:val="00F642D5"/>
    <w:rsid w:val="00F67C2A"/>
    <w:rsid w:val="00F857E7"/>
    <w:rsid w:val="00F91514"/>
    <w:rsid w:val="00F91BC5"/>
    <w:rsid w:val="00FD35FF"/>
    <w:rsid w:val="00FE1C0D"/>
    <w:rsid w:val="00FE1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304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91BC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1BC5"/>
    <w:rPr>
      <w:rFonts w:ascii="Times New Roman" w:hAnsi="Times New Roman" w:cs="Times New Roman"/>
      <w:sz w:val="18"/>
      <w:szCs w:val="18"/>
    </w:rPr>
  </w:style>
  <w:style w:type="character" w:styleId="Hyperlink">
    <w:name w:val="Hyperlink"/>
    <w:basedOn w:val="DefaultParagraphFont"/>
    <w:uiPriority w:val="99"/>
    <w:unhideWhenUsed/>
    <w:rsid w:val="00F91BC5"/>
    <w:rPr>
      <w:color w:val="0000FF" w:themeColor="hyperlink"/>
      <w:u w:val="single"/>
    </w:rPr>
  </w:style>
  <w:style w:type="paragraph" w:styleId="Header">
    <w:name w:val="header"/>
    <w:basedOn w:val="Normal"/>
    <w:link w:val="HeaderChar"/>
    <w:uiPriority w:val="99"/>
    <w:unhideWhenUsed/>
    <w:rsid w:val="007E3457"/>
    <w:pPr>
      <w:tabs>
        <w:tab w:val="center" w:pos="4680"/>
        <w:tab w:val="right" w:pos="9360"/>
      </w:tabs>
      <w:spacing w:line="240" w:lineRule="auto"/>
    </w:pPr>
  </w:style>
  <w:style w:type="character" w:customStyle="1" w:styleId="HeaderChar">
    <w:name w:val="Header Char"/>
    <w:basedOn w:val="DefaultParagraphFont"/>
    <w:link w:val="Header"/>
    <w:uiPriority w:val="99"/>
    <w:rsid w:val="007E3457"/>
  </w:style>
  <w:style w:type="paragraph" w:styleId="Footer">
    <w:name w:val="footer"/>
    <w:basedOn w:val="Normal"/>
    <w:link w:val="FooterChar"/>
    <w:uiPriority w:val="99"/>
    <w:unhideWhenUsed/>
    <w:rsid w:val="007E3457"/>
    <w:pPr>
      <w:tabs>
        <w:tab w:val="center" w:pos="4680"/>
        <w:tab w:val="right" w:pos="9360"/>
      </w:tabs>
      <w:spacing w:line="240" w:lineRule="auto"/>
    </w:pPr>
  </w:style>
  <w:style w:type="character" w:customStyle="1" w:styleId="FooterChar">
    <w:name w:val="Footer Char"/>
    <w:basedOn w:val="DefaultParagraphFont"/>
    <w:link w:val="Footer"/>
    <w:uiPriority w:val="99"/>
    <w:rsid w:val="007E3457"/>
  </w:style>
  <w:style w:type="character" w:styleId="PageNumber">
    <w:name w:val="page number"/>
    <w:basedOn w:val="DefaultParagraphFont"/>
    <w:uiPriority w:val="99"/>
    <w:semiHidden/>
    <w:unhideWhenUsed/>
    <w:rsid w:val="007E6233"/>
  </w:style>
  <w:style w:type="paragraph" w:styleId="CommentSubject">
    <w:name w:val="annotation subject"/>
    <w:basedOn w:val="CommentText"/>
    <w:next w:val="CommentText"/>
    <w:link w:val="CommentSubjectChar"/>
    <w:uiPriority w:val="99"/>
    <w:semiHidden/>
    <w:unhideWhenUsed/>
    <w:rsid w:val="00B32C8A"/>
    <w:rPr>
      <w:b/>
      <w:bCs/>
      <w:sz w:val="20"/>
      <w:szCs w:val="20"/>
    </w:rPr>
  </w:style>
  <w:style w:type="character" w:customStyle="1" w:styleId="CommentSubjectChar">
    <w:name w:val="Comment Subject Char"/>
    <w:basedOn w:val="CommentTextChar"/>
    <w:link w:val="CommentSubject"/>
    <w:uiPriority w:val="99"/>
    <w:semiHidden/>
    <w:rsid w:val="00B32C8A"/>
    <w:rPr>
      <w:b/>
      <w:bCs/>
      <w:sz w:val="20"/>
      <w:szCs w:val="20"/>
    </w:rPr>
  </w:style>
  <w:style w:type="paragraph" w:styleId="ListParagraph">
    <w:name w:val="List Paragraph"/>
    <w:basedOn w:val="Normal"/>
    <w:uiPriority w:val="34"/>
    <w:qFormat/>
    <w:rsid w:val="00F91514"/>
    <w:pPr>
      <w:ind w:left="720"/>
      <w:contextualSpacing/>
    </w:pPr>
  </w:style>
  <w:style w:type="character" w:styleId="FollowedHyperlink">
    <w:name w:val="FollowedHyperlink"/>
    <w:basedOn w:val="DefaultParagraphFont"/>
    <w:uiPriority w:val="99"/>
    <w:semiHidden/>
    <w:unhideWhenUsed/>
    <w:rsid w:val="008A0685"/>
    <w:rPr>
      <w:color w:val="800080" w:themeColor="followedHyperlink"/>
      <w:u w:val="single"/>
    </w:rPr>
  </w:style>
  <w:style w:type="paragraph" w:styleId="FootnoteText">
    <w:name w:val="footnote text"/>
    <w:basedOn w:val="Normal"/>
    <w:link w:val="FootnoteTextChar"/>
    <w:uiPriority w:val="99"/>
    <w:unhideWhenUsed/>
    <w:rsid w:val="00F35592"/>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F35592"/>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unhideWhenUsed/>
    <w:rsid w:val="00F35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88762">
      <w:bodyDiv w:val="1"/>
      <w:marLeft w:val="0"/>
      <w:marRight w:val="0"/>
      <w:marTop w:val="0"/>
      <w:marBottom w:val="0"/>
      <w:divBdr>
        <w:top w:val="none" w:sz="0" w:space="0" w:color="auto"/>
        <w:left w:val="none" w:sz="0" w:space="0" w:color="auto"/>
        <w:bottom w:val="none" w:sz="0" w:space="0" w:color="auto"/>
        <w:right w:val="none" w:sz="0" w:space="0" w:color="auto"/>
      </w:divBdr>
    </w:div>
    <w:div w:id="312103009">
      <w:bodyDiv w:val="1"/>
      <w:marLeft w:val="0"/>
      <w:marRight w:val="0"/>
      <w:marTop w:val="0"/>
      <w:marBottom w:val="0"/>
      <w:divBdr>
        <w:top w:val="none" w:sz="0" w:space="0" w:color="auto"/>
        <w:left w:val="none" w:sz="0" w:space="0" w:color="auto"/>
        <w:bottom w:val="none" w:sz="0" w:space="0" w:color="auto"/>
        <w:right w:val="none" w:sz="0" w:space="0" w:color="auto"/>
      </w:divBdr>
    </w:div>
    <w:div w:id="323096854">
      <w:bodyDiv w:val="1"/>
      <w:marLeft w:val="0"/>
      <w:marRight w:val="0"/>
      <w:marTop w:val="0"/>
      <w:marBottom w:val="0"/>
      <w:divBdr>
        <w:top w:val="none" w:sz="0" w:space="0" w:color="auto"/>
        <w:left w:val="none" w:sz="0" w:space="0" w:color="auto"/>
        <w:bottom w:val="none" w:sz="0" w:space="0" w:color="auto"/>
        <w:right w:val="none" w:sz="0" w:space="0" w:color="auto"/>
      </w:divBdr>
      <w:divsChild>
        <w:div w:id="804279676">
          <w:marLeft w:val="0"/>
          <w:marRight w:val="0"/>
          <w:marTop w:val="0"/>
          <w:marBottom w:val="0"/>
          <w:divBdr>
            <w:top w:val="none" w:sz="0" w:space="0" w:color="auto"/>
            <w:left w:val="none" w:sz="0" w:space="0" w:color="auto"/>
            <w:bottom w:val="none" w:sz="0" w:space="0" w:color="auto"/>
            <w:right w:val="none" w:sz="0" w:space="0" w:color="auto"/>
          </w:divBdr>
          <w:divsChild>
            <w:div w:id="2077119502">
              <w:marLeft w:val="0"/>
              <w:marRight w:val="0"/>
              <w:marTop w:val="0"/>
              <w:marBottom w:val="0"/>
              <w:divBdr>
                <w:top w:val="none" w:sz="0" w:space="0" w:color="auto"/>
                <w:left w:val="none" w:sz="0" w:space="0" w:color="auto"/>
                <w:bottom w:val="none" w:sz="0" w:space="0" w:color="auto"/>
                <w:right w:val="none" w:sz="0" w:space="0" w:color="auto"/>
              </w:divBdr>
              <w:divsChild>
                <w:div w:id="3755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90967">
      <w:bodyDiv w:val="1"/>
      <w:marLeft w:val="0"/>
      <w:marRight w:val="0"/>
      <w:marTop w:val="0"/>
      <w:marBottom w:val="0"/>
      <w:divBdr>
        <w:top w:val="none" w:sz="0" w:space="0" w:color="auto"/>
        <w:left w:val="none" w:sz="0" w:space="0" w:color="auto"/>
        <w:bottom w:val="none" w:sz="0" w:space="0" w:color="auto"/>
        <w:right w:val="none" w:sz="0" w:space="0" w:color="auto"/>
      </w:divBdr>
    </w:div>
    <w:div w:id="683868208">
      <w:bodyDiv w:val="1"/>
      <w:marLeft w:val="0"/>
      <w:marRight w:val="0"/>
      <w:marTop w:val="0"/>
      <w:marBottom w:val="0"/>
      <w:divBdr>
        <w:top w:val="none" w:sz="0" w:space="0" w:color="auto"/>
        <w:left w:val="none" w:sz="0" w:space="0" w:color="auto"/>
        <w:bottom w:val="none" w:sz="0" w:space="0" w:color="auto"/>
        <w:right w:val="none" w:sz="0" w:space="0" w:color="auto"/>
      </w:divBdr>
      <w:divsChild>
        <w:div w:id="887226396">
          <w:marLeft w:val="0"/>
          <w:marRight w:val="0"/>
          <w:marTop w:val="0"/>
          <w:marBottom w:val="0"/>
          <w:divBdr>
            <w:top w:val="none" w:sz="0" w:space="0" w:color="auto"/>
            <w:left w:val="none" w:sz="0" w:space="0" w:color="auto"/>
            <w:bottom w:val="none" w:sz="0" w:space="0" w:color="auto"/>
            <w:right w:val="none" w:sz="0" w:space="0" w:color="auto"/>
          </w:divBdr>
          <w:divsChild>
            <w:div w:id="140273876">
              <w:marLeft w:val="0"/>
              <w:marRight w:val="0"/>
              <w:marTop w:val="0"/>
              <w:marBottom w:val="0"/>
              <w:divBdr>
                <w:top w:val="none" w:sz="0" w:space="0" w:color="auto"/>
                <w:left w:val="none" w:sz="0" w:space="0" w:color="auto"/>
                <w:bottom w:val="none" w:sz="0" w:space="0" w:color="auto"/>
                <w:right w:val="none" w:sz="0" w:space="0" w:color="auto"/>
              </w:divBdr>
              <w:divsChild>
                <w:div w:id="14925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88227">
      <w:bodyDiv w:val="1"/>
      <w:marLeft w:val="0"/>
      <w:marRight w:val="0"/>
      <w:marTop w:val="0"/>
      <w:marBottom w:val="0"/>
      <w:divBdr>
        <w:top w:val="none" w:sz="0" w:space="0" w:color="auto"/>
        <w:left w:val="none" w:sz="0" w:space="0" w:color="auto"/>
        <w:bottom w:val="none" w:sz="0" w:space="0" w:color="auto"/>
        <w:right w:val="none" w:sz="0" w:space="0" w:color="auto"/>
      </w:divBdr>
    </w:div>
    <w:div w:id="852845739">
      <w:bodyDiv w:val="1"/>
      <w:marLeft w:val="0"/>
      <w:marRight w:val="0"/>
      <w:marTop w:val="0"/>
      <w:marBottom w:val="0"/>
      <w:divBdr>
        <w:top w:val="none" w:sz="0" w:space="0" w:color="auto"/>
        <w:left w:val="none" w:sz="0" w:space="0" w:color="auto"/>
        <w:bottom w:val="none" w:sz="0" w:space="0" w:color="auto"/>
        <w:right w:val="none" w:sz="0" w:space="0" w:color="auto"/>
      </w:divBdr>
    </w:div>
    <w:div w:id="860825520">
      <w:bodyDiv w:val="1"/>
      <w:marLeft w:val="0"/>
      <w:marRight w:val="0"/>
      <w:marTop w:val="0"/>
      <w:marBottom w:val="0"/>
      <w:divBdr>
        <w:top w:val="none" w:sz="0" w:space="0" w:color="auto"/>
        <w:left w:val="none" w:sz="0" w:space="0" w:color="auto"/>
        <w:bottom w:val="none" w:sz="0" w:space="0" w:color="auto"/>
        <w:right w:val="none" w:sz="0" w:space="0" w:color="auto"/>
      </w:divBdr>
    </w:div>
    <w:div w:id="866989254">
      <w:bodyDiv w:val="1"/>
      <w:marLeft w:val="0"/>
      <w:marRight w:val="0"/>
      <w:marTop w:val="0"/>
      <w:marBottom w:val="0"/>
      <w:divBdr>
        <w:top w:val="none" w:sz="0" w:space="0" w:color="auto"/>
        <w:left w:val="none" w:sz="0" w:space="0" w:color="auto"/>
        <w:bottom w:val="none" w:sz="0" w:space="0" w:color="auto"/>
        <w:right w:val="none" w:sz="0" w:space="0" w:color="auto"/>
      </w:divBdr>
      <w:divsChild>
        <w:div w:id="496725668">
          <w:marLeft w:val="0"/>
          <w:marRight w:val="0"/>
          <w:marTop w:val="0"/>
          <w:marBottom w:val="0"/>
          <w:divBdr>
            <w:top w:val="none" w:sz="0" w:space="0" w:color="auto"/>
            <w:left w:val="none" w:sz="0" w:space="0" w:color="auto"/>
            <w:bottom w:val="none" w:sz="0" w:space="0" w:color="auto"/>
            <w:right w:val="none" w:sz="0" w:space="0" w:color="auto"/>
          </w:divBdr>
          <w:divsChild>
            <w:div w:id="1746490915">
              <w:marLeft w:val="0"/>
              <w:marRight w:val="0"/>
              <w:marTop w:val="0"/>
              <w:marBottom w:val="0"/>
              <w:divBdr>
                <w:top w:val="none" w:sz="0" w:space="0" w:color="auto"/>
                <w:left w:val="none" w:sz="0" w:space="0" w:color="auto"/>
                <w:bottom w:val="none" w:sz="0" w:space="0" w:color="auto"/>
                <w:right w:val="none" w:sz="0" w:space="0" w:color="auto"/>
              </w:divBdr>
              <w:divsChild>
                <w:div w:id="3307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7804">
      <w:bodyDiv w:val="1"/>
      <w:marLeft w:val="0"/>
      <w:marRight w:val="0"/>
      <w:marTop w:val="0"/>
      <w:marBottom w:val="0"/>
      <w:divBdr>
        <w:top w:val="none" w:sz="0" w:space="0" w:color="auto"/>
        <w:left w:val="none" w:sz="0" w:space="0" w:color="auto"/>
        <w:bottom w:val="none" w:sz="0" w:space="0" w:color="auto"/>
        <w:right w:val="none" w:sz="0" w:space="0" w:color="auto"/>
      </w:divBdr>
    </w:div>
    <w:div w:id="1036202585">
      <w:bodyDiv w:val="1"/>
      <w:marLeft w:val="0"/>
      <w:marRight w:val="0"/>
      <w:marTop w:val="0"/>
      <w:marBottom w:val="0"/>
      <w:divBdr>
        <w:top w:val="none" w:sz="0" w:space="0" w:color="auto"/>
        <w:left w:val="none" w:sz="0" w:space="0" w:color="auto"/>
        <w:bottom w:val="none" w:sz="0" w:space="0" w:color="auto"/>
        <w:right w:val="none" w:sz="0" w:space="0" w:color="auto"/>
      </w:divBdr>
    </w:div>
    <w:div w:id="1090810513">
      <w:bodyDiv w:val="1"/>
      <w:marLeft w:val="0"/>
      <w:marRight w:val="0"/>
      <w:marTop w:val="0"/>
      <w:marBottom w:val="0"/>
      <w:divBdr>
        <w:top w:val="none" w:sz="0" w:space="0" w:color="auto"/>
        <w:left w:val="none" w:sz="0" w:space="0" w:color="auto"/>
        <w:bottom w:val="none" w:sz="0" w:space="0" w:color="auto"/>
        <w:right w:val="none" w:sz="0" w:space="0" w:color="auto"/>
      </w:divBdr>
    </w:div>
    <w:div w:id="1204976965">
      <w:bodyDiv w:val="1"/>
      <w:marLeft w:val="0"/>
      <w:marRight w:val="0"/>
      <w:marTop w:val="0"/>
      <w:marBottom w:val="0"/>
      <w:divBdr>
        <w:top w:val="none" w:sz="0" w:space="0" w:color="auto"/>
        <w:left w:val="none" w:sz="0" w:space="0" w:color="auto"/>
        <w:bottom w:val="none" w:sz="0" w:space="0" w:color="auto"/>
        <w:right w:val="none" w:sz="0" w:space="0" w:color="auto"/>
      </w:divBdr>
    </w:div>
    <w:div w:id="1298490181">
      <w:bodyDiv w:val="1"/>
      <w:marLeft w:val="0"/>
      <w:marRight w:val="0"/>
      <w:marTop w:val="0"/>
      <w:marBottom w:val="0"/>
      <w:divBdr>
        <w:top w:val="none" w:sz="0" w:space="0" w:color="auto"/>
        <w:left w:val="none" w:sz="0" w:space="0" w:color="auto"/>
        <w:bottom w:val="none" w:sz="0" w:space="0" w:color="auto"/>
        <w:right w:val="none" w:sz="0" w:space="0" w:color="auto"/>
      </w:divBdr>
    </w:div>
    <w:div w:id="1432705313">
      <w:bodyDiv w:val="1"/>
      <w:marLeft w:val="0"/>
      <w:marRight w:val="0"/>
      <w:marTop w:val="0"/>
      <w:marBottom w:val="0"/>
      <w:divBdr>
        <w:top w:val="none" w:sz="0" w:space="0" w:color="auto"/>
        <w:left w:val="none" w:sz="0" w:space="0" w:color="auto"/>
        <w:bottom w:val="none" w:sz="0" w:space="0" w:color="auto"/>
        <w:right w:val="none" w:sz="0" w:space="0" w:color="auto"/>
      </w:divBdr>
    </w:div>
    <w:div w:id="1563566917">
      <w:bodyDiv w:val="1"/>
      <w:marLeft w:val="0"/>
      <w:marRight w:val="0"/>
      <w:marTop w:val="0"/>
      <w:marBottom w:val="0"/>
      <w:divBdr>
        <w:top w:val="none" w:sz="0" w:space="0" w:color="auto"/>
        <w:left w:val="none" w:sz="0" w:space="0" w:color="auto"/>
        <w:bottom w:val="none" w:sz="0" w:space="0" w:color="auto"/>
        <w:right w:val="none" w:sz="0" w:space="0" w:color="auto"/>
      </w:divBdr>
    </w:div>
    <w:div w:id="1845901463">
      <w:bodyDiv w:val="1"/>
      <w:marLeft w:val="0"/>
      <w:marRight w:val="0"/>
      <w:marTop w:val="0"/>
      <w:marBottom w:val="0"/>
      <w:divBdr>
        <w:top w:val="none" w:sz="0" w:space="0" w:color="auto"/>
        <w:left w:val="none" w:sz="0" w:space="0" w:color="auto"/>
        <w:bottom w:val="none" w:sz="0" w:space="0" w:color="auto"/>
        <w:right w:val="none" w:sz="0" w:space="0" w:color="auto"/>
      </w:divBdr>
    </w:div>
    <w:div w:id="1956325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dsmovement.net/colonialism-and-aparthe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alhaq.org/advocacy/6257.html" TargetMode="External"/><Relationship Id="rId3" Type="http://schemas.openxmlformats.org/officeDocument/2006/relationships/hyperlink" Target="https://www.jpost.com/Israel-News/Arye-Deri-moves-to-deport-BDS-founder-Barghouti-603889" TargetMode="External"/><Relationship Id="rId7" Type="http://schemas.openxmlformats.org/officeDocument/2006/relationships/hyperlink" Target="https://al-shabaka.org/releases/residency-revocation-israels-forcible-transfer-palestinians-jerusalem/" TargetMode="External"/><Relationship Id="rId2" Type="http://schemas.openxmlformats.org/officeDocument/2006/relationships/hyperlink" Target="https://www.kipa.co.il/userFiles/files/1475c7aebd9515ce59bf964572c931c2.pdf" TargetMode="External"/><Relationship Id="rId1" Type="http://schemas.openxmlformats.org/officeDocument/2006/relationships/hyperlink" Target="https://twitter.com/ariyederi/status/1180884050749382656" TargetMode="External"/><Relationship Id="rId6" Type="http://schemas.openxmlformats.org/officeDocument/2006/relationships/hyperlink" Target="http://www.alhaq.org/advocacy/6257.html" TargetMode="External"/><Relationship Id="rId5" Type="http://schemas.openxmlformats.org/officeDocument/2006/relationships/hyperlink" Target="http://www.alhaq.org/advocacy/6331.html" TargetMode="External"/><Relationship Id="rId4" Type="http://schemas.openxmlformats.org/officeDocument/2006/relationships/hyperlink" Target="https://www.amnesty.org/download/Documents/MDE1598112019ENGLISH.PDF" TargetMode="External"/><Relationship Id="rId9" Type="http://schemas.openxmlformats.org/officeDocument/2006/relationships/hyperlink" Target="https://www.nevo.co.il/law_word/law14/law-26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27A5A7-D450-3343-94FB-F8A3FDD5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4034</Words>
  <Characters>22997</Characters>
  <Application>Microsoft Office Word</Application>
  <DocSecurity>0</DocSecurity>
  <Lines>191</Lines>
  <Paragraphs>53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Joint Urgent Appeal</vt:lpstr>
      <vt:lpstr>To the attention of:</vt:lpstr>
    </vt:vector>
  </TitlesOfParts>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Bassam Almohor</cp:lastModifiedBy>
  <cp:revision>2</cp:revision>
  <cp:lastPrinted>2019-11-06T10:13:00Z</cp:lastPrinted>
  <dcterms:created xsi:type="dcterms:W3CDTF">2019-11-08T16:58:00Z</dcterms:created>
  <dcterms:modified xsi:type="dcterms:W3CDTF">2019-11-08T16:58:00Z</dcterms:modified>
</cp:coreProperties>
</file>